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73E" w:rsidRDefault="00AC3343">
      <w:pPr>
        <w:spacing w:line="560" w:lineRule="exact"/>
        <w:jc w:val="center"/>
        <w:rPr>
          <w:rFonts w:ascii="华文新魏" w:eastAsia="华文新魏"/>
          <w:sz w:val="52"/>
          <w:szCs w:val="52"/>
        </w:rPr>
      </w:pPr>
      <w:r w:rsidRPr="009D573E">
        <w:rPr>
          <w:rFonts w:ascii="华文新魏" w:eastAsia="华文新魏" w:hint="eastAsia"/>
          <w:sz w:val="52"/>
          <w:szCs w:val="52"/>
        </w:rPr>
        <w:t>中国农工民主党北京市委员会</w:t>
      </w:r>
    </w:p>
    <w:p w:rsidR="00B61D3D" w:rsidRPr="009D573E" w:rsidRDefault="00AC3343">
      <w:pPr>
        <w:spacing w:line="560" w:lineRule="exact"/>
        <w:jc w:val="center"/>
        <w:rPr>
          <w:rFonts w:ascii="华文新魏" w:eastAsia="华文新魏"/>
          <w:sz w:val="52"/>
          <w:szCs w:val="52"/>
        </w:rPr>
      </w:pPr>
      <w:r w:rsidRPr="009D573E">
        <w:rPr>
          <w:rFonts w:ascii="华文新魏" w:eastAsia="华文新魏" w:hint="eastAsia"/>
          <w:sz w:val="52"/>
          <w:szCs w:val="52"/>
        </w:rPr>
        <w:t>整体绩效评价报告</w:t>
      </w:r>
    </w:p>
    <w:p w:rsidR="00B61D3D" w:rsidRDefault="00B61D3D">
      <w:pPr>
        <w:jc w:val="center"/>
        <w:rPr>
          <w:rFonts w:ascii="仿宋_GB2312"/>
          <w:szCs w:val="30"/>
        </w:rPr>
      </w:pPr>
    </w:p>
    <w:p w:rsidR="00B61D3D" w:rsidRDefault="00AC3343">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一、部门概况</w:t>
      </w:r>
    </w:p>
    <w:p w:rsidR="00B61D3D" w:rsidRDefault="00AC3343">
      <w:pPr>
        <w:spacing w:line="600" w:lineRule="exact"/>
        <w:ind w:firstLineChars="200" w:firstLine="640"/>
        <w:rPr>
          <w:rFonts w:ascii="楷体_GB2312" w:eastAsia="楷体_GB2312"/>
          <w:sz w:val="32"/>
          <w:szCs w:val="32"/>
        </w:rPr>
      </w:pPr>
      <w:r>
        <w:rPr>
          <w:rFonts w:ascii="楷体_GB2312" w:eastAsia="楷体_GB2312" w:hint="eastAsia"/>
          <w:sz w:val="32"/>
          <w:szCs w:val="32"/>
        </w:rPr>
        <w:t>（一）机构设置及职责工作任务情况</w:t>
      </w:r>
    </w:p>
    <w:p w:rsidR="00B61D3D" w:rsidRDefault="00AC3343">
      <w:pPr>
        <w:spacing w:line="600" w:lineRule="exact"/>
        <w:ind w:firstLineChars="200" w:firstLine="420"/>
        <w:rPr>
          <w:rFonts w:ascii="仿宋_GB2312" w:eastAsia="仿宋_GB2312" w:hAnsi="宋体" w:cs="宋体"/>
          <w:kern w:val="0"/>
          <w:sz w:val="32"/>
          <w:szCs w:val="32"/>
        </w:rPr>
      </w:pPr>
      <w:r>
        <w:rPr>
          <w:rFonts w:hint="eastAsia"/>
        </w:rPr>
        <w:t xml:space="preserve">　</w:t>
      </w:r>
      <w:r>
        <w:rPr>
          <w:rFonts w:ascii="仿宋_GB2312" w:eastAsia="仿宋_GB2312" w:hAnsi="宋体" w:cs="宋体" w:hint="eastAsia"/>
          <w:kern w:val="0"/>
          <w:sz w:val="32"/>
          <w:szCs w:val="32"/>
        </w:rPr>
        <w:t>中国农工民主党北京市委员会机关（以下简称“农工党北京市委会”）性质为行政部门，属于民主党派机关，部门职责是参政议政、民主监督、参加中国共产党领导的政治协商。</w:t>
      </w:r>
    </w:p>
    <w:p w:rsidR="00B61D3D" w:rsidRDefault="00AC334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农工党北京市委会下设办公室、参政议政处、宣传处、组织处、社会服务处5个处（室）。办公室是市委机关综合性职能部门，主要负责做好行政事务性工作，包括文秘、人事、财务、行政管理等工作。参政议政处负责市委参政议政各项工作任务的落实，组织对国家、地方各种方针政策提出建议，组织调研工作，组织市委在市人大、市政协的参政议政工作，负责市委信息工作的组织上报工作。宣传处负责做好市委各级组织和党员的思想建设工作，组织开展理论研究课题工作，负责新闻宣传和对外宣传工作。组织处负责市委组织建设工作的职能部门，承担全市的组织发展、党员的党籍管理、市委各级组织的建设以及后备干部队伍建设等有关工作，落实市委监督委员会的工作。社会服务处是市委履行参政党职能的社会实践工作部门，主要负责落实上级部门有关社会服务工作的要求，指导组织各级组织的社会服务工作，</w:t>
      </w:r>
      <w:r>
        <w:rPr>
          <w:rFonts w:ascii="仿宋_GB2312" w:eastAsia="仿宋_GB2312" w:hAnsi="宋体" w:cs="宋体" w:hint="eastAsia"/>
          <w:kern w:val="0"/>
          <w:sz w:val="32"/>
          <w:szCs w:val="32"/>
        </w:rPr>
        <w:lastRenderedPageBreak/>
        <w:t>落实社团各项工作和对外联络工作。</w:t>
      </w:r>
    </w:p>
    <w:p w:rsidR="00B61D3D" w:rsidRDefault="00AC3343">
      <w:pPr>
        <w:numPr>
          <w:ilvl w:val="0"/>
          <w:numId w:val="1"/>
        </w:numPr>
        <w:spacing w:line="600" w:lineRule="exact"/>
        <w:ind w:firstLineChars="200" w:firstLine="640"/>
        <w:rPr>
          <w:rFonts w:ascii="楷体_GB2312" w:eastAsia="楷体_GB2312"/>
          <w:sz w:val="32"/>
          <w:szCs w:val="32"/>
        </w:rPr>
      </w:pPr>
      <w:r>
        <w:rPr>
          <w:rFonts w:ascii="楷体_GB2312" w:eastAsia="楷体_GB2312" w:hint="eastAsia"/>
          <w:sz w:val="32"/>
          <w:szCs w:val="32"/>
        </w:rPr>
        <w:t>部门整体绩效目标设立情况</w:t>
      </w:r>
    </w:p>
    <w:p w:rsidR="00B61D3D" w:rsidRDefault="00AC334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农工党北京市委会认真学习贯彻中共</w:t>
      </w:r>
      <w:r w:rsidR="00454B28">
        <w:rPr>
          <w:rFonts w:ascii="仿宋_GB2312" w:eastAsia="仿宋_GB2312" w:hAnsi="宋体" w:cs="宋体" w:hint="eastAsia"/>
          <w:kern w:val="0"/>
          <w:sz w:val="32"/>
          <w:szCs w:val="32"/>
        </w:rPr>
        <w:t>二十大会议</w:t>
      </w:r>
      <w:r>
        <w:rPr>
          <w:rFonts w:ascii="仿宋_GB2312" w:eastAsia="仿宋_GB2312" w:hAnsi="宋体" w:cs="宋体" w:hint="eastAsia"/>
          <w:kern w:val="0"/>
          <w:sz w:val="32"/>
          <w:szCs w:val="32"/>
        </w:rPr>
        <w:t xml:space="preserve">精神，深入学习宣传贯彻习近平总书记新时期统一战线重要思想和中共中央关于统一战线多党合作的各项重大决策部署，在农工党中央和中共北京市委的坚强领导和市委统战部的帮助指导下，紧紧围绕市委市政府的中心工作，依靠全市各级组织和广大党员，认真履行参政党职能，不断加强自身建设，在宣传理论、协商议政、参政建言、组织发展、社会服务等各项工作上发挥好参政党的作用。   </w:t>
      </w:r>
    </w:p>
    <w:p w:rsidR="00B61D3D" w:rsidRDefault="00AC3343">
      <w:pPr>
        <w:spacing w:line="600" w:lineRule="exact"/>
        <w:ind w:firstLineChars="200" w:firstLine="640"/>
        <w:rPr>
          <w:rFonts w:ascii="仿宋_GB2312" w:eastAsia="仿宋_GB2312" w:hAnsi="宋体" w:cs="宋体"/>
          <w:kern w:val="0"/>
          <w:sz w:val="32"/>
          <w:szCs w:val="32"/>
        </w:rPr>
      </w:pPr>
      <w:bookmarkStart w:id="0" w:name="_GoBack"/>
      <w:bookmarkEnd w:id="0"/>
      <w:r>
        <w:rPr>
          <w:rFonts w:ascii="仿宋_GB2312" w:eastAsia="仿宋_GB2312" w:hAnsi="宋体" w:cs="宋体" w:hint="eastAsia"/>
          <w:kern w:val="0"/>
          <w:sz w:val="32"/>
          <w:szCs w:val="32"/>
        </w:rPr>
        <w:t>2022年绩效目标：深入学习贯彻中共二十大、农工党中央十七大、中共北京市第十三次代表大会精神，深刻领悟“两个确立”的决定性意义，增强“四个意识”、坚定“四个自信”、做到“两个维护”，不忘初心、牢记使命，始终做中国共产党的好参谋、好帮手、好同事，切实肩负起中国特色社会主义参政党的使命担当。</w:t>
      </w:r>
    </w:p>
    <w:p w:rsidR="00B61D3D" w:rsidRDefault="00AC3343">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color w:val="000000"/>
          <w:kern w:val="0"/>
          <w:sz w:val="32"/>
          <w:szCs w:val="32"/>
        </w:rPr>
        <w:t>、</w:t>
      </w:r>
      <w:r>
        <w:rPr>
          <w:rFonts w:ascii="黑体" w:eastAsia="黑体" w:hAnsi="黑体" w:cs="宋体" w:hint="eastAsia"/>
          <w:color w:val="000000"/>
          <w:kern w:val="0"/>
          <w:sz w:val="32"/>
          <w:szCs w:val="32"/>
        </w:rPr>
        <w:t>当年</w:t>
      </w:r>
      <w:r>
        <w:rPr>
          <w:rFonts w:ascii="黑体" w:eastAsia="黑体" w:hAnsi="黑体" w:cs="宋体"/>
          <w:color w:val="000000"/>
          <w:kern w:val="0"/>
          <w:sz w:val="32"/>
          <w:szCs w:val="32"/>
        </w:rPr>
        <w:t>预算执行情况</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2022</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全年</w:t>
      </w:r>
      <w:r>
        <w:rPr>
          <w:rFonts w:ascii="仿宋_GB2312" w:eastAsia="仿宋_GB2312" w:hAnsi="宋体" w:cs="宋体" w:hint="eastAsia"/>
          <w:color w:val="000000"/>
          <w:kern w:val="0"/>
          <w:sz w:val="32"/>
          <w:szCs w:val="32"/>
        </w:rPr>
        <w:t>预算数1699.30万元</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其中</w:t>
      </w:r>
      <w:r>
        <w:rPr>
          <w:rFonts w:ascii="仿宋_GB2312" w:eastAsia="仿宋_GB2312" w:hAnsi="宋体" w:cs="宋体"/>
          <w:color w:val="000000"/>
          <w:kern w:val="0"/>
          <w:sz w:val="32"/>
          <w:szCs w:val="32"/>
        </w:rPr>
        <w:t>，基本</w:t>
      </w:r>
      <w:r>
        <w:rPr>
          <w:rFonts w:ascii="仿宋_GB2312" w:eastAsia="仿宋_GB2312" w:hAnsi="宋体" w:cs="宋体" w:hint="eastAsia"/>
          <w:color w:val="000000"/>
          <w:kern w:val="0"/>
          <w:sz w:val="32"/>
          <w:szCs w:val="32"/>
        </w:rPr>
        <w:t>支出</w:t>
      </w:r>
      <w:r>
        <w:rPr>
          <w:rFonts w:ascii="仿宋_GB2312" w:eastAsia="仿宋_GB2312" w:hAnsi="宋体" w:cs="宋体"/>
          <w:color w:val="000000"/>
          <w:kern w:val="0"/>
          <w:sz w:val="32"/>
          <w:szCs w:val="32"/>
        </w:rPr>
        <w:t>预算数</w:t>
      </w:r>
      <w:r>
        <w:rPr>
          <w:rFonts w:ascii="仿宋_GB2312" w:eastAsia="仿宋_GB2312" w:hAnsi="宋体" w:cs="宋体" w:hint="eastAsia"/>
          <w:color w:val="000000"/>
          <w:kern w:val="0"/>
          <w:sz w:val="32"/>
          <w:szCs w:val="32"/>
        </w:rPr>
        <w:t>1376.23</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项目支出预算数323.06</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资金总体</w:t>
      </w:r>
      <w:r>
        <w:rPr>
          <w:rFonts w:ascii="仿宋_GB2312" w:eastAsia="仿宋_GB2312" w:hAnsi="宋体" w:cs="宋体" w:hint="eastAsia"/>
          <w:color w:val="000000"/>
          <w:kern w:val="0"/>
          <w:sz w:val="32"/>
          <w:szCs w:val="32"/>
        </w:rPr>
        <w:t>支出1598.66</w:t>
      </w:r>
      <w:r>
        <w:rPr>
          <w:rFonts w:ascii="仿宋_GB2312" w:eastAsia="仿宋_GB2312" w:hAnsi="宋体" w:cs="宋体"/>
          <w:color w:val="000000"/>
          <w:kern w:val="0"/>
          <w:sz w:val="32"/>
          <w:szCs w:val="32"/>
        </w:rPr>
        <w:t>万元，其中，基本支出</w:t>
      </w:r>
      <w:r>
        <w:rPr>
          <w:rFonts w:ascii="仿宋_GB2312" w:eastAsia="仿宋_GB2312" w:hAnsi="宋体" w:cs="宋体" w:hint="eastAsia"/>
          <w:color w:val="000000"/>
          <w:kern w:val="0"/>
          <w:sz w:val="32"/>
          <w:szCs w:val="32"/>
        </w:rPr>
        <w:t>1345.89</w:t>
      </w:r>
      <w:r>
        <w:rPr>
          <w:rFonts w:ascii="仿宋_GB2312" w:eastAsia="仿宋_GB2312" w:hAnsi="宋体" w:cs="宋体"/>
          <w:color w:val="000000"/>
          <w:kern w:val="0"/>
          <w:sz w:val="32"/>
          <w:szCs w:val="32"/>
        </w:rPr>
        <w:t>万元，项目</w:t>
      </w:r>
      <w:r>
        <w:rPr>
          <w:rFonts w:ascii="仿宋_GB2312" w:eastAsia="仿宋_GB2312" w:hAnsi="宋体" w:cs="宋体" w:hint="eastAsia"/>
          <w:color w:val="000000"/>
          <w:kern w:val="0"/>
          <w:sz w:val="32"/>
          <w:szCs w:val="32"/>
        </w:rPr>
        <w:t>支出252.77</w:t>
      </w:r>
      <w:r>
        <w:rPr>
          <w:rFonts w:ascii="仿宋_GB2312" w:eastAsia="仿宋_GB2312" w:hAnsi="宋体" w:cs="宋体"/>
          <w:color w:val="000000"/>
          <w:kern w:val="0"/>
          <w:sz w:val="32"/>
          <w:szCs w:val="32"/>
        </w:rPr>
        <w:t>万元。</w:t>
      </w:r>
      <w:r>
        <w:rPr>
          <w:rFonts w:ascii="仿宋_GB2312" w:eastAsia="仿宋_GB2312" w:hAnsi="宋体" w:cs="宋体" w:hint="eastAsia"/>
          <w:color w:val="000000"/>
          <w:kern w:val="0"/>
          <w:sz w:val="32"/>
          <w:szCs w:val="32"/>
        </w:rPr>
        <w:t>预算</w:t>
      </w:r>
      <w:r>
        <w:rPr>
          <w:rFonts w:ascii="仿宋_GB2312" w:eastAsia="仿宋_GB2312" w:hAnsi="宋体" w:cs="宋体"/>
          <w:color w:val="000000"/>
          <w:kern w:val="0"/>
          <w:sz w:val="32"/>
          <w:szCs w:val="32"/>
        </w:rPr>
        <w:t>执行率为</w:t>
      </w:r>
      <w:r>
        <w:rPr>
          <w:rFonts w:ascii="仿宋_GB2312" w:eastAsia="仿宋_GB2312" w:hAnsi="宋体" w:cs="宋体" w:hint="eastAsia"/>
          <w:color w:val="000000"/>
          <w:kern w:val="0"/>
          <w:sz w:val="32"/>
          <w:szCs w:val="32"/>
        </w:rPr>
        <w:t>94.08%。</w:t>
      </w:r>
    </w:p>
    <w:p w:rsidR="00B61D3D" w:rsidRDefault="00AC3343">
      <w:pPr>
        <w:spacing w:line="600" w:lineRule="exact"/>
        <w:ind w:leftChars="50" w:left="105" w:firstLineChars="150" w:firstLine="48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Pr>
          <w:rFonts w:ascii="黑体" w:eastAsia="黑体" w:hAnsi="黑体" w:cs="宋体"/>
          <w:color w:val="000000"/>
          <w:kern w:val="0"/>
          <w:sz w:val="32"/>
          <w:szCs w:val="32"/>
        </w:rPr>
        <w:t>、整体绩效目标实现情况</w:t>
      </w:r>
    </w:p>
    <w:p w:rsidR="00B61D3D" w:rsidRDefault="00AC3343">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（一）产出完成情况分析</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产出完成情况（30分）。主要从产出数量、产出质量、产出进度和产出成本4项内容进行评价。根据部门整体支出绩效评价表，产出指标总得分30分。针对项目完成率、项目达标率、项目成果转化与获奖情况、是否按时完成保质保量工作。此项综合评价得分为29.00分。扣分项为：</w:t>
      </w:r>
      <w:r w:rsidR="00E33C62" w:rsidRPr="00C74A3B">
        <w:rPr>
          <w:rFonts w:ascii="仿宋_GB2312" w:eastAsia="仿宋_GB2312" w:hAnsi="宋体" w:cs="宋体" w:hint="eastAsia"/>
          <w:color w:val="000000"/>
          <w:kern w:val="0"/>
          <w:sz w:val="32"/>
          <w:szCs w:val="32"/>
        </w:rPr>
        <w:t>信息系统运维类</w:t>
      </w:r>
      <w:r>
        <w:rPr>
          <w:rFonts w:ascii="仿宋_GB2312" w:eastAsia="仿宋_GB2312" w:hAnsi="宋体" w:cs="宋体" w:hint="eastAsia"/>
          <w:color w:val="000000"/>
          <w:kern w:val="0"/>
          <w:sz w:val="32"/>
          <w:szCs w:val="32"/>
        </w:rPr>
        <w:t>项目</w:t>
      </w:r>
      <w:r w:rsidR="00C74A3B">
        <w:rPr>
          <w:rFonts w:ascii="仿宋_GB2312" w:eastAsia="仿宋_GB2312" w:hAnsi="宋体" w:cs="宋体" w:hint="eastAsia"/>
          <w:color w:val="000000"/>
          <w:kern w:val="0"/>
          <w:sz w:val="32"/>
          <w:szCs w:val="32"/>
        </w:rPr>
        <w:t>数量指标</w:t>
      </w:r>
      <w:r w:rsidR="00E33C62" w:rsidRPr="00C74A3B">
        <w:rPr>
          <w:rFonts w:ascii="仿宋_GB2312" w:eastAsia="仿宋_GB2312" w:hAnsi="宋体" w:cs="宋体" w:hint="eastAsia"/>
          <w:color w:val="000000"/>
          <w:kern w:val="0"/>
          <w:sz w:val="32"/>
          <w:szCs w:val="32"/>
        </w:rPr>
        <w:t>宣传市委会各项活动开展政务公开等</w:t>
      </w:r>
      <w:r w:rsidR="00E33C62">
        <w:rPr>
          <w:rFonts w:ascii="仿宋_GB2312" w:eastAsia="仿宋_GB2312" w:hAnsi="宋体" w:cs="宋体" w:hint="eastAsia"/>
          <w:color w:val="000000"/>
          <w:kern w:val="0"/>
          <w:sz w:val="32"/>
          <w:szCs w:val="32"/>
        </w:rPr>
        <w:t>1000次</w:t>
      </w:r>
      <w:r w:rsidR="00C74A3B">
        <w:rPr>
          <w:rFonts w:ascii="仿宋_GB2312" w:eastAsia="仿宋_GB2312" w:hAnsi="宋体" w:cs="宋体" w:hint="eastAsia"/>
          <w:color w:val="000000"/>
          <w:kern w:val="0"/>
          <w:sz w:val="32"/>
          <w:szCs w:val="32"/>
        </w:rPr>
        <w:t>，</w:t>
      </w:r>
      <w:r w:rsidR="00C74A3B">
        <w:rPr>
          <w:rFonts w:ascii="仿宋_GB2312" w:eastAsia="仿宋_GB2312" w:hAnsi="宋体" w:cs="宋体"/>
          <w:color w:val="000000"/>
          <w:kern w:val="0"/>
          <w:sz w:val="32"/>
          <w:szCs w:val="32"/>
        </w:rPr>
        <w:t>实际完成</w:t>
      </w:r>
      <w:r w:rsidR="00C74A3B">
        <w:rPr>
          <w:rFonts w:ascii="仿宋_GB2312" w:eastAsia="仿宋_GB2312" w:hAnsi="宋体" w:cs="宋体" w:hint="eastAsia"/>
          <w:color w:val="000000"/>
          <w:kern w:val="0"/>
          <w:sz w:val="32"/>
          <w:szCs w:val="32"/>
        </w:rPr>
        <w:t>883次</w:t>
      </w:r>
      <w:r w:rsidR="00C74A3B">
        <w:rPr>
          <w:rFonts w:ascii="仿宋_GB2312" w:eastAsia="仿宋_GB2312" w:hAnsi="宋体" w:cs="宋体"/>
          <w:color w:val="000000"/>
          <w:kern w:val="0"/>
          <w:sz w:val="32"/>
          <w:szCs w:val="32"/>
        </w:rPr>
        <w:t>，</w:t>
      </w:r>
      <w:r w:rsidR="00C74A3B">
        <w:rPr>
          <w:rFonts w:ascii="仿宋_GB2312" w:eastAsia="仿宋_GB2312" w:hAnsi="宋体" w:cs="宋体" w:hint="eastAsia"/>
          <w:color w:val="000000"/>
          <w:kern w:val="0"/>
          <w:sz w:val="32"/>
          <w:szCs w:val="32"/>
        </w:rPr>
        <w:t>其余项目指标均按工作计划全面完成。</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1.产出数量</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及时跟进学习习近平总书记重要讲话精神、中共北京市委第十三次党代会精神等，带头撰写理论文章10余篇。全年组织开展新语大讲堂活动4期。结合换届工作、党史学习教育等，创新开展理论宣讲、文史征文、党史诵读等10余项活动。，整理收集第十三届委员会理论研究工作各类获奖文章、重点发言等57篇并编辑成册。开展“重温光辉历程、声动北京农工”大型党史诵读接力活动，推出30期党史教育微课。</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在融合宣传上多做创新，推出体现农工党界别特色的网上访谈、微主题音频、心得体会文章、基层学习动态等宣讲内容40余篇，唱响网上主旋律。立足界别优势，推出“并肩携手，抗击疫情——首都农工党党员积极投身疫情防控工作专题”20期，充分体现广大医卫界党员投身抗疫一线的责任担当。与人民网健康频道合作，推出医药卫生领域科普宣</w:t>
      </w:r>
      <w:r>
        <w:rPr>
          <w:rFonts w:ascii="仿宋_GB2312" w:eastAsia="仿宋_GB2312" w:hAnsi="宋体" w:cs="宋体" w:hint="eastAsia"/>
          <w:color w:val="000000"/>
          <w:kern w:val="0"/>
          <w:sz w:val="32"/>
          <w:szCs w:val="32"/>
        </w:rPr>
        <w:lastRenderedPageBreak/>
        <w:t>传6篇，完成北京日报、人民政协报、团结报等媒体报道40余篇次。管好、建好、用好新媒体，着力打造全方位立体宣传矩阵，截至目前，微信公众号共推出271期452篇，策划专题专栏60余期，“一网一微一刊”编发文章800余篇次。信息质量稳步提升，全年报送反映社情民意信息659篇。深入开展调查研究，全年累计组织调研活动42次，900余人次参与调研。结题阶段，着力提升成果质量，邀请政府研究室资深专家对代表性成果予以现场讲评。形成多领域调研报告65篇，经专家评审、党内推荐，分类转化为集体提案、政协大会发言、建言专报和社情民意信息。严格规范组织程序，专题研究市委会换届相关工作，共召开12次主委会议、3次常委会议、3次全委会议、11次换届领导小组会议、3次换届专项工作部署会议。全年共发展新党员299名，其中国家千人计划1人、长江学者1人，重点分工领域占76.92%、具有中高级职称占58.19%。针对不同群体分类培训，举办新一届市委委员、内部监督委员会委员培训班，举办新党员培训班2期，组织党员参加各类培训3期。积极有为服务民生。延续开展特色社会服务活动，不断擦亮“农工品牌”。积极参与“同心抗疫”行动，为支持首都地区疫情防控工作做出积极贡献。组织引导党员奉献爱心，据不完全统计，各级组织和党员个人，全年累计捐款捐物逾380万元。新增修订市委会及机关制度共50件，</w:t>
      </w:r>
    </w:p>
    <w:p w:rsidR="00B61D3D" w:rsidRDefault="00AC3343">
      <w:pPr>
        <w:numPr>
          <w:ilvl w:val="0"/>
          <w:numId w:val="2"/>
        </w:num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产出</w:t>
      </w:r>
      <w:r>
        <w:rPr>
          <w:rFonts w:ascii="仿宋_GB2312" w:eastAsia="仿宋_GB2312" w:hAnsi="宋体" w:cs="宋体"/>
          <w:color w:val="000000"/>
          <w:kern w:val="0"/>
          <w:sz w:val="32"/>
          <w:szCs w:val="32"/>
        </w:rPr>
        <w:t>质量</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组织开展“双奥之城”、“北京往事 农工情怀”等专题征文工作，其中25篇征文被市政协采用，征文采用数量名列前茅。参加市委统战部“共话百年统战”征文活动，获得二等奖一篇，优秀奖两篇。全年向市委统战部报送2022年理论研究成果10篇，向市政协理论与实践研究会报送论文11篇，其中2篇被《政协研究》刊发。</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信息质量稳步提升，全年报送反映社情民意信息659篇，569篇次获有关部门采用，采用率同比提高7个百分点。其中，61篇被全国政协采用，5篇被中央统战部采用，12篇获得北京市领导同志批示。</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截至目前，全市党员总数为8418人。广大党员奋勇争先，在本职岗位建功立业，据不完全统计，邢念增获“第二十二届吴杨奖（第二十二届吴阶平-保罗·杨森医学药学奖临床医学领域奖）”；郭美玲获“全国三八红旗手”荣誉称号；孔宏智获国家自然科学基金“创新研究群体项目”资助；瑕瑜获“国家杰出青年科学基金”资助；周超男获“2022年全国五一劳动奖章”。</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全年向市委统战部报送2022年理论研究成果10篇，向市政协理论与实践研究会报送论文11篇，其中2篇被《政协研究》刊发。</w:t>
      </w:r>
    </w:p>
    <w:p w:rsidR="00B61D3D" w:rsidRDefault="00AC3343">
      <w:pPr>
        <w:numPr>
          <w:ilvl w:val="0"/>
          <w:numId w:val="2"/>
        </w:num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产出</w:t>
      </w:r>
      <w:r>
        <w:rPr>
          <w:rFonts w:ascii="仿宋_GB2312" w:eastAsia="仿宋_GB2312" w:hAnsi="宋体" w:cs="宋体"/>
          <w:color w:val="000000"/>
          <w:kern w:val="0"/>
          <w:sz w:val="32"/>
          <w:szCs w:val="32"/>
        </w:rPr>
        <w:t>进度</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对照9个项目的绩效申报表所列2022年度绩效目标任务，对各项目2022年度目标任务和计划安排进行核查，宣</w:t>
      </w:r>
      <w:r>
        <w:rPr>
          <w:rFonts w:ascii="仿宋_GB2312" w:eastAsia="仿宋_GB2312" w:hAnsi="宋体" w:cs="宋体" w:hint="eastAsia"/>
          <w:color w:val="000000"/>
          <w:kern w:val="0"/>
          <w:sz w:val="32"/>
          <w:szCs w:val="32"/>
        </w:rPr>
        <w:lastRenderedPageBreak/>
        <w:t>传思想项目</w:t>
      </w:r>
      <w:r w:rsidR="006C75C5" w:rsidRPr="006C75C5">
        <w:rPr>
          <w:rFonts w:ascii="仿宋_GB2312" w:eastAsia="仿宋_GB2312" w:hAnsi="宋体" w:cs="宋体" w:hint="eastAsia"/>
          <w:color w:val="000000"/>
          <w:kern w:val="0"/>
          <w:sz w:val="32"/>
          <w:szCs w:val="32"/>
        </w:rPr>
        <w:t>宣传市委会各项活动开展政务公开等</w:t>
      </w:r>
      <w:r w:rsidR="006C75C5">
        <w:rPr>
          <w:rFonts w:ascii="仿宋_GB2312" w:eastAsia="仿宋_GB2312" w:hAnsi="宋体" w:cs="宋体" w:hint="eastAsia"/>
          <w:color w:val="000000"/>
          <w:kern w:val="0"/>
          <w:sz w:val="32"/>
          <w:szCs w:val="32"/>
        </w:rPr>
        <w:t>1000</w:t>
      </w:r>
      <w:r>
        <w:rPr>
          <w:rFonts w:ascii="仿宋_GB2312" w:eastAsia="仿宋_GB2312" w:hAnsi="宋体" w:cs="宋体" w:hint="eastAsia"/>
          <w:color w:val="000000"/>
          <w:kern w:val="0"/>
          <w:sz w:val="32"/>
          <w:szCs w:val="32"/>
        </w:rPr>
        <w:t>未完成，其余项目指标均按工作计划全面完成。</w:t>
      </w:r>
    </w:p>
    <w:p w:rsidR="00B61D3D" w:rsidRDefault="00AC3343">
      <w:pPr>
        <w:numPr>
          <w:ilvl w:val="0"/>
          <w:numId w:val="2"/>
        </w:num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产出</w:t>
      </w:r>
      <w:r>
        <w:rPr>
          <w:rFonts w:ascii="仿宋_GB2312" w:eastAsia="仿宋_GB2312" w:hAnsi="宋体" w:cs="宋体"/>
          <w:color w:val="000000"/>
          <w:kern w:val="0"/>
          <w:sz w:val="32"/>
          <w:szCs w:val="32"/>
        </w:rPr>
        <w:t>成本</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资金总体未超预算，成本控制率为94.08%。其中基本支出成本预算，成本控制率为97.80%；项目支出成本控制率为78.24%。</w:t>
      </w:r>
    </w:p>
    <w:p w:rsidR="00B61D3D" w:rsidRDefault="00AC3343">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（二）效果</w:t>
      </w:r>
      <w:r>
        <w:rPr>
          <w:rFonts w:ascii="楷体_GB2312" w:eastAsia="楷体_GB2312"/>
          <w:sz w:val="32"/>
          <w:szCs w:val="32"/>
        </w:rPr>
        <w:t>实现情况分析</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针对经济效益、社会效益、生态效益或可持续影响、社会公众或服务对象满意度进行绩效评价。根据部门整体支出绩效评价表，效果实现指标总得分30分，其中社会效益20分、服务对象满意度10分。此项综合评价得分为28.00分。</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1.经济</w:t>
      </w:r>
      <w:r>
        <w:rPr>
          <w:rFonts w:ascii="仿宋_GB2312" w:eastAsia="仿宋_GB2312" w:hAnsi="宋体" w:cs="宋体"/>
          <w:color w:val="000000"/>
          <w:kern w:val="0"/>
          <w:sz w:val="32"/>
          <w:szCs w:val="32"/>
        </w:rPr>
        <w:t>效益</w:t>
      </w:r>
    </w:p>
    <w:p w:rsidR="00B61D3D" w:rsidRDefault="00AC3343">
      <w:pPr>
        <w:spacing w:line="600" w:lineRule="exact"/>
        <w:ind w:firstLineChars="200" w:firstLine="640"/>
        <w:rPr>
          <w:rFonts w:ascii="仿宋_GB2312" w:eastAsia="仿宋" w:hAnsi="宋体" w:cs="宋体"/>
          <w:color w:val="000000"/>
          <w:kern w:val="0"/>
          <w:sz w:val="32"/>
          <w:szCs w:val="32"/>
        </w:rPr>
      </w:pPr>
      <w:r>
        <w:rPr>
          <w:rFonts w:ascii="仿宋_GB2312" w:eastAsia="仿宋_GB2312" w:hAnsi="宋体" w:cs="宋体" w:hint="eastAsia"/>
          <w:color w:val="000000"/>
          <w:kern w:val="0"/>
          <w:sz w:val="32"/>
          <w:szCs w:val="32"/>
        </w:rPr>
        <w:t>积极落实农工党中央、中共北京市委统战部、农工党北京市委有关社会服务工作精神和工作要求，立足党派优势，整合各方资源，开展社会服务，聚焦精准帮扶，助力脱贫攻坚。</w:t>
      </w:r>
      <w:r>
        <w:rPr>
          <w:rFonts w:ascii="仿宋" w:eastAsia="仿宋" w:hint="eastAsia"/>
          <w:sz w:val="32"/>
          <w:szCs w:val="32"/>
        </w:rPr>
        <w:t>积极参与“同心抗疫”行动，据不完全统计，包括西城区委等10余个组织，张汉龙等70余位党员个人，通过不同渠道捐赠物资价值380余万元。端午节前，开展慰问抗疫一线农工党党员和社区工作者活动，捐赠慰问品近2000份，深受各方好评。</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2.社会效益</w:t>
      </w:r>
    </w:p>
    <w:p w:rsidR="00B61D3D" w:rsidRDefault="00AC3343">
      <w:pPr>
        <w:spacing w:line="54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社会效益指相关产出对社会发展带来的影响和效果，如产生的社会贡献、行业贡献及其影响力。农工党北京市委会</w:t>
      </w:r>
      <w:r>
        <w:rPr>
          <w:rFonts w:ascii="仿宋_GB2312" w:eastAsia="仿宋_GB2312" w:hAnsi="宋体" w:cs="宋体" w:hint="eastAsia"/>
          <w:color w:val="000000"/>
          <w:kern w:val="0"/>
          <w:sz w:val="32"/>
          <w:szCs w:val="32"/>
        </w:rPr>
        <w:lastRenderedPageBreak/>
        <w:t>通过议政建言、课题研究、社情民意反映、民主监督等多种形式不断提高党员统战理论水平、参政议政能力，在各行各业发挥党员先锋模范作用，推动社会、文化、经济多领域发展。2022年</w:t>
      </w:r>
      <w:r>
        <w:rPr>
          <w:rFonts w:ascii="仿宋" w:eastAsia="仿宋" w:hint="eastAsia"/>
          <w:bCs/>
          <w:sz w:val="32"/>
          <w:szCs w:val="32"/>
        </w:rPr>
        <w:t>市委会联合北京中成康富科技股份有限公司向大方县卫健局捐赠康华云健康机器人1台（价值55万元），联合诺华集团（中国）向对江镇元宝小学捐赠平板电脑、笔记本电脑73台。开展“精准医疗爱心行动”，3位来自北京三甲医院的医疗专家为在凤山乡卫生院为群众进行了义诊和慢病用药指导，带教基层医务人员，深受群众欢迎。</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3.环境效益</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未涉及。</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4.可持续</w:t>
      </w:r>
      <w:r>
        <w:rPr>
          <w:rFonts w:ascii="仿宋_GB2312" w:eastAsia="仿宋_GB2312" w:hAnsi="宋体" w:cs="宋体"/>
          <w:color w:val="000000"/>
          <w:kern w:val="0"/>
          <w:sz w:val="32"/>
          <w:szCs w:val="32"/>
        </w:rPr>
        <w:t>性影响</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可持续影响指标指间接中长期影响力。通过开展9个项目，深入开展专题教育活动和创新宣传形式，不断加强思想政治引领，推动建立各项项目长效机制，提升和扩大农工党专业性和影响力，并结合各自专业领域，为首都经济社会发展建真言、谋良策，推动履职尽责提质增效，为首都经济社会高质量发展作出贡献。可持续影响指标“建立长效机制”中缺乏相应的有效的协商准备机制、帮扶机制建设等长效机制；“提升农工党影响力”中农工党影响力有待进一步提升。</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5.服务对象</w:t>
      </w:r>
      <w:r>
        <w:rPr>
          <w:rFonts w:ascii="仿宋_GB2312" w:eastAsia="仿宋_GB2312" w:hAnsi="宋体" w:cs="宋体"/>
          <w:color w:val="000000"/>
          <w:kern w:val="0"/>
          <w:sz w:val="32"/>
          <w:szCs w:val="32"/>
        </w:rPr>
        <w:t>满意度</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服务对象满意度指标中项目整体实施效果良好，但未对项目实施情况开展满意度调查，难以完全掌握党员满意度情况。</w:t>
      </w:r>
    </w:p>
    <w:p w:rsidR="00B61D3D" w:rsidRDefault="00AC3343">
      <w:pPr>
        <w:spacing w:line="600" w:lineRule="exact"/>
        <w:ind w:leftChars="50" w:left="105" w:firstLineChars="150" w:firstLine="480"/>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四</w:t>
      </w:r>
      <w:r>
        <w:rPr>
          <w:rFonts w:ascii="黑体" w:eastAsia="黑体" w:hAnsi="黑体" w:cs="宋体"/>
          <w:color w:val="000000"/>
          <w:kern w:val="0"/>
          <w:sz w:val="32"/>
          <w:szCs w:val="32"/>
        </w:rPr>
        <w:t>、预算管理</w:t>
      </w:r>
      <w:r>
        <w:rPr>
          <w:rFonts w:ascii="黑体" w:eastAsia="黑体" w:hAnsi="黑体" w:cs="宋体" w:hint="eastAsia"/>
          <w:color w:val="000000"/>
          <w:kern w:val="0"/>
          <w:sz w:val="32"/>
          <w:szCs w:val="32"/>
        </w:rPr>
        <w:t>情况分</w:t>
      </w:r>
      <w:r>
        <w:rPr>
          <w:rFonts w:ascii="黑体" w:eastAsia="黑体" w:hAnsi="黑体" w:cs="宋体"/>
          <w:color w:val="000000"/>
          <w:kern w:val="0"/>
          <w:sz w:val="32"/>
          <w:szCs w:val="32"/>
        </w:rPr>
        <w:t>析</w:t>
      </w:r>
    </w:p>
    <w:p w:rsidR="00B61D3D" w:rsidRDefault="00AC3343">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（一）财务管理</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1.财务</w:t>
      </w:r>
      <w:r>
        <w:rPr>
          <w:rFonts w:ascii="仿宋_GB2312" w:eastAsia="仿宋_GB2312" w:hAnsi="宋体" w:cs="宋体"/>
          <w:color w:val="000000"/>
          <w:kern w:val="0"/>
          <w:sz w:val="32"/>
          <w:szCs w:val="32"/>
        </w:rPr>
        <w:t>管理制度健全性</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查阅，农工党北京市委会制定了《中国农工民主党北京市委员会机关财务管理制度（修订）》《中国农工民主党北京市委员会机关采购制度（新增）》，制定了相应的内部控制制度，明确了经费审批原则、权限及流程，经费报销流程及相关要求，采购方式及流程、物品管理等制度和要求等。总体来看，农工党北京市委会财务管理制度完整、合规，制度执行有效。此项综合评价得分为2分。</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2.资金使用合规性</w:t>
      </w:r>
      <w:r>
        <w:rPr>
          <w:rFonts w:ascii="仿宋_GB2312" w:eastAsia="仿宋_GB2312" w:hAnsi="宋体" w:cs="宋体"/>
          <w:color w:val="000000"/>
          <w:kern w:val="0"/>
          <w:sz w:val="32"/>
          <w:szCs w:val="32"/>
        </w:rPr>
        <w:t>和安全性</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农工党北京市委会资金使用严格按照《中国农工民主党北京市委员会机关财务管理制度（修订）》《中国农工民主党北京市委员会机关采购制度（新增）》规定执行，资金拨付均有领款人、科室负责人、单位领导等签字，财务资料归档规范、完整，未发现截留、挤占、挪用、虚列支出等问题，符合部门预算批复的用途。此项综合评价得分为1分。</w:t>
      </w:r>
    </w:p>
    <w:p w:rsidR="00B61D3D" w:rsidRDefault="00AC3343">
      <w:pPr>
        <w:numPr>
          <w:ilvl w:val="0"/>
          <w:numId w:val="3"/>
        </w:num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会计</w:t>
      </w:r>
      <w:r>
        <w:rPr>
          <w:rFonts w:ascii="仿宋_GB2312" w:eastAsia="仿宋_GB2312" w:hAnsi="宋体" w:cs="宋体"/>
          <w:color w:val="000000"/>
          <w:kern w:val="0"/>
          <w:sz w:val="32"/>
          <w:szCs w:val="32"/>
        </w:rPr>
        <w:t>基础信息完善性</w:t>
      </w:r>
    </w:p>
    <w:p w:rsidR="00B61D3D" w:rsidRDefault="00AC3343">
      <w:pPr>
        <w:spacing w:line="600" w:lineRule="exact"/>
        <w:ind w:firstLineChars="200" w:firstLine="640"/>
        <w:rPr>
          <w:rFonts w:asciiTheme="minorEastAsia" w:eastAsiaTheme="minorEastAsia" w:hAnsiTheme="minorEastAsia" w:cstheme="minorEastAsia"/>
          <w:color w:val="000000"/>
          <w:kern w:val="0"/>
          <w:szCs w:val="21"/>
        </w:rPr>
      </w:pPr>
      <w:r>
        <w:rPr>
          <w:rFonts w:ascii="仿宋_GB2312" w:eastAsia="仿宋_GB2312" w:hAnsi="宋体" w:cs="宋体" w:hint="eastAsia"/>
          <w:color w:val="000000"/>
          <w:kern w:val="0"/>
          <w:sz w:val="32"/>
          <w:szCs w:val="32"/>
        </w:rPr>
        <w:t>会计基础信息用以反映和评价基础信息对预算管理工作的支撑情况。通过已有数据信息资料查阅，农工党北京市委会基础数据信息和会计信息资料真实、完整、准确，会计基础信息具备完善性。此项综合评价得分为1分。</w:t>
      </w:r>
    </w:p>
    <w:p w:rsidR="00B61D3D" w:rsidRDefault="00AC3343">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（二）资产管理</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部门的资产是否保存完整、使用合规、收入及时足额上缴，用以反映和评价部门资产运行情况。针对资产管理制度健全性、资产管理安全性、固定资产利用率等进行绩效评价。农工党北京市委会部门资产配置、使用和处理合理规范，未存在严重资产损失和丢失情况，此项综合评价得分为4分。</w:t>
      </w:r>
    </w:p>
    <w:p w:rsidR="00B61D3D" w:rsidRDefault="00AC3343">
      <w:pPr>
        <w:numPr>
          <w:ilvl w:val="0"/>
          <w:numId w:val="1"/>
        </w:numPr>
        <w:spacing w:line="600" w:lineRule="exact"/>
        <w:ind w:firstLineChars="200" w:firstLine="640"/>
        <w:rPr>
          <w:rFonts w:ascii="楷体_GB2312" w:eastAsia="楷体_GB2312"/>
          <w:sz w:val="32"/>
          <w:szCs w:val="32"/>
        </w:rPr>
      </w:pPr>
      <w:r>
        <w:rPr>
          <w:rFonts w:ascii="楷体_GB2312" w:eastAsia="楷体_GB2312" w:hint="eastAsia"/>
          <w:sz w:val="32"/>
          <w:szCs w:val="32"/>
        </w:rPr>
        <w:t>绩效</w:t>
      </w:r>
      <w:r>
        <w:rPr>
          <w:rFonts w:ascii="楷体_GB2312" w:eastAsia="楷体_GB2312"/>
          <w:sz w:val="32"/>
          <w:szCs w:val="32"/>
        </w:rPr>
        <w:t>管理</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针对管理制度健全性、落实绩效主体责任、整改落实、资料、信息报送、预决算公开的及时性等进行绩效评价。农工党北京市委会依据财政部《预算绩效管理工作规划（20122015)》（财预〔2012〕396号）、财政部《项目支出绩效评价管理办法》、北京市财政局《北京市项目支出绩效评价管理办法》，明确了部门应根据北京市委市政府、农工党中央的重大决策部署，结合本部门职能，全面设置整体绩效目标、政策及项目绩效目标，并依据绩效目标、支出标准合理确定预算需求；审核和评估结果作为项目决策及预算安排的前置条件。对涉及323.06万元项目预算资金的9个项目的绩效信息及时进行汇总分析整理并对绩效目标偏离情况进行及时矫正。此项综合评价得分为2分。</w:t>
      </w:r>
    </w:p>
    <w:p w:rsidR="00B61D3D" w:rsidRDefault="00AC3343">
      <w:pPr>
        <w:numPr>
          <w:ilvl w:val="0"/>
          <w:numId w:val="1"/>
        </w:numPr>
        <w:spacing w:line="600" w:lineRule="exact"/>
        <w:ind w:firstLineChars="200" w:firstLine="640"/>
        <w:rPr>
          <w:rFonts w:ascii="楷体_GB2312" w:eastAsia="楷体_GB2312"/>
          <w:sz w:val="32"/>
          <w:szCs w:val="32"/>
        </w:rPr>
      </w:pPr>
      <w:r>
        <w:rPr>
          <w:rFonts w:ascii="楷体_GB2312" w:eastAsia="楷体_GB2312" w:hint="eastAsia"/>
          <w:sz w:val="32"/>
          <w:szCs w:val="32"/>
        </w:rPr>
        <w:t>结转结余率</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通过对部门本年度结转结余总额与支出预算数的比较，反映和评价部门对本年度结转结余资金的实际控制程度。通过结转结余率计算，农工党北京市委会结转结余率为5.92%，此项综合评价得分为3.2分。</w:t>
      </w:r>
    </w:p>
    <w:p w:rsidR="00B61D3D" w:rsidRDefault="00AC3343">
      <w:pPr>
        <w:numPr>
          <w:ilvl w:val="0"/>
          <w:numId w:val="1"/>
        </w:numPr>
        <w:spacing w:line="600" w:lineRule="exact"/>
        <w:ind w:firstLineChars="200" w:firstLine="640"/>
        <w:rPr>
          <w:rFonts w:ascii="楷体_GB2312" w:eastAsia="楷体_GB2312"/>
          <w:sz w:val="32"/>
          <w:szCs w:val="32"/>
        </w:rPr>
      </w:pPr>
      <w:r>
        <w:rPr>
          <w:rFonts w:ascii="楷体_GB2312" w:eastAsia="楷体_GB2312" w:hint="eastAsia"/>
          <w:sz w:val="32"/>
          <w:szCs w:val="32"/>
        </w:rPr>
        <w:lastRenderedPageBreak/>
        <w:t>部门</w:t>
      </w:r>
      <w:r>
        <w:rPr>
          <w:rFonts w:ascii="楷体_GB2312" w:eastAsia="楷体_GB2312"/>
          <w:sz w:val="32"/>
          <w:szCs w:val="32"/>
        </w:rPr>
        <w:t>预决算差异率</w:t>
      </w:r>
    </w:p>
    <w:p w:rsidR="00B61D3D" w:rsidRDefault="00AC3343">
      <w:pPr>
        <w:spacing w:line="600" w:lineRule="exact"/>
        <w:ind w:firstLineChars="200" w:firstLine="640"/>
        <w:rPr>
          <w:rFonts w:asciiTheme="minorEastAsia" w:eastAsiaTheme="minorEastAsia" w:hAnsiTheme="minorEastAsia" w:cstheme="minorEastAsia"/>
          <w:szCs w:val="21"/>
        </w:rPr>
      </w:pPr>
      <w:r>
        <w:rPr>
          <w:rFonts w:ascii="仿宋_GB2312" w:eastAsia="仿宋_GB2312" w:hAnsi="宋体" w:cs="宋体" w:hint="eastAsia"/>
          <w:color w:val="000000"/>
          <w:kern w:val="0"/>
          <w:sz w:val="32"/>
          <w:szCs w:val="32"/>
        </w:rPr>
        <w:t>通过年度部门决算与年初部门预算对比，对部门的年度支出情况进行考核，衡量部门预算的约束力。通过部门预决算差异率计算，农工党北京市委会预决算差异率为6.30%，此项综合评价得分为4分。</w:t>
      </w:r>
    </w:p>
    <w:p w:rsidR="00B61D3D" w:rsidRDefault="00AC3343">
      <w:pPr>
        <w:spacing w:line="600" w:lineRule="exact"/>
        <w:ind w:leftChars="50" w:left="105" w:firstLineChars="150" w:firstLine="480"/>
        <w:rPr>
          <w:rFonts w:ascii="黑体" w:eastAsia="黑体" w:hAnsi="黑体"/>
          <w:sz w:val="32"/>
          <w:szCs w:val="32"/>
        </w:rPr>
      </w:pPr>
      <w:r>
        <w:rPr>
          <w:rFonts w:ascii="黑体" w:eastAsia="黑体" w:hAnsi="黑体" w:hint="eastAsia"/>
          <w:sz w:val="32"/>
          <w:szCs w:val="32"/>
        </w:rPr>
        <w:t>五、总体</w:t>
      </w:r>
      <w:r>
        <w:rPr>
          <w:rFonts w:ascii="黑体" w:eastAsia="黑体" w:hAnsi="黑体"/>
          <w:sz w:val="32"/>
          <w:szCs w:val="32"/>
        </w:rPr>
        <w:t>评价结论</w:t>
      </w:r>
    </w:p>
    <w:p w:rsidR="00B61D3D" w:rsidRDefault="00AC3343">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（一）评价</w:t>
      </w:r>
      <w:r>
        <w:rPr>
          <w:rFonts w:ascii="楷体_GB2312" w:eastAsia="楷体_GB2312"/>
          <w:sz w:val="32"/>
          <w:szCs w:val="32"/>
        </w:rPr>
        <w:t>得分</w:t>
      </w:r>
      <w:r>
        <w:rPr>
          <w:rFonts w:ascii="楷体_GB2312" w:eastAsia="楷体_GB2312" w:hint="eastAsia"/>
          <w:sz w:val="32"/>
          <w:szCs w:val="32"/>
        </w:rPr>
        <w:t>情况</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楷体_GB2312" w:eastAsia="楷体_GB2312" w:hint="eastAsia"/>
          <w:sz w:val="32"/>
          <w:szCs w:val="32"/>
        </w:rPr>
        <w:t xml:space="preserve">　</w:t>
      </w:r>
      <w:r>
        <w:rPr>
          <w:rFonts w:ascii="仿宋_GB2312" w:eastAsia="仿宋_GB2312" w:hAnsi="宋体" w:cs="宋体" w:hint="eastAsia"/>
          <w:color w:val="000000"/>
          <w:kern w:val="0"/>
          <w:sz w:val="32"/>
          <w:szCs w:val="32"/>
        </w:rPr>
        <w:t>部门整体绩效支出评价总得分为分93.02分。</w:t>
      </w:r>
    </w:p>
    <w:p w:rsidR="00B61D3D" w:rsidRDefault="00AC3343">
      <w:pPr>
        <w:numPr>
          <w:ilvl w:val="0"/>
          <w:numId w:val="4"/>
        </w:num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存在的问题及原因分析</w:t>
      </w:r>
    </w:p>
    <w:p w:rsidR="00B61D3D" w:rsidRDefault="00AC3343">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项目预算编制的科学性、合理性、精确性有待提升。项目的预算编制应建立在科学测算、整体评估、切合实际的基础上，需要有明确合理的测算依据，具体的计划安排。而实际执行过程中，缺乏预算编制的合理依据，项目预算执行率较低，影响了财政资金的使用效益。</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项目绩效评价指标体系有待进一步完善。在农工党北京市委各个项目中，各项目由于项目特点、目标任务、功能作用不同，其产出指标和效益指标的标准也不尽相同，给绩效评价指标体系设置和运用的覆盖面、适用性和灵活性提出更高要求，同时评价指标标准无科学理论依据，在实际工作中绩效评价指标体系的确定对各个项目的实施效果评价的全面性、客观性和准确的有待进一步提升。</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(3)部门项目预算执行率相对较低，项目执行过程管理有待提高。部门总体项目预算执行率为78.24%，预算执行率</w:t>
      </w:r>
      <w:r>
        <w:rPr>
          <w:rFonts w:ascii="仿宋_GB2312" w:eastAsia="仿宋_GB2312" w:hAnsi="宋体" w:cs="宋体" w:hint="eastAsia"/>
          <w:color w:val="000000"/>
          <w:kern w:val="0"/>
          <w:sz w:val="32"/>
          <w:szCs w:val="32"/>
        </w:rPr>
        <w:lastRenderedPageBreak/>
        <w:t>较低，项目支出管理等问题仍旧存在，一定程度上造成财政资金闲置、浪费、效益低下等问题。在项目预算编制和执行过程中未明确可衡量的绩效目标，没有对项目预期产出和预期效果进行细化量化，也没有定期跟进预算执行情况，同时缺乏对项目效益进行深入研究分析，财政资源配置有效性有待提升。</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缺乏针对性、可量化的满意度调查指标，主观评价因素较高。满意是一种抽象的心理状态，需要通过量化客户的满意状态，来客观、科学地评估项目实施成效，同时通过各个项目的满意度调查，能深度分析相关的服务需求，采取针对性的措施，促进服务成效满意度提升。</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六、措施建议</w:t>
      </w:r>
      <w:r>
        <w:rPr>
          <w:rFonts w:ascii="仿宋_GB2312" w:eastAsia="仿宋_GB2312" w:hAnsi="宋体" w:cs="宋体" w:hint="eastAsia"/>
          <w:color w:val="000000"/>
          <w:kern w:val="0"/>
          <w:sz w:val="32"/>
          <w:szCs w:val="32"/>
        </w:rPr>
        <w:t>（整改措施、下一步工作举措）</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强化部门预算管理，增强预算编制的科学性、合理性，提高预算编制的精确度。首先各项目预算编制的年初预算需根据项目目标拟定，可参考上年度预算执行情况、相关支出绩效评价结果和本年度的收支预测，建立健全预算编制管理办法。同时，项目预算前期需进行充分的调查研究，基于明确合理的测算依据合理测算所需财政资金的多少，准确评估财政资金投入使用效益。最后，预算编制应合理进行项目计划安排，细化到项目及具体事项，严格按照预算执行，尽可能减少预算调整，从而提高项目预算的科学合理性以及预算执行的准确性和预算执行率。</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2.完善预算绩效评价指标体系。绩效评价指标体系在项</w:t>
      </w:r>
      <w:r>
        <w:rPr>
          <w:rFonts w:ascii="仿宋_GB2312" w:eastAsia="仿宋_GB2312" w:hAnsi="宋体" w:cs="宋体" w:hint="eastAsia"/>
          <w:color w:val="000000"/>
          <w:kern w:val="0"/>
          <w:sz w:val="32"/>
          <w:szCs w:val="32"/>
        </w:rPr>
        <w:lastRenderedPageBreak/>
        <w:t>目实施过程中发挥着引导和标杆的作用，反映着预期应达到的指数、规格和标准。一是应加强绩效评价事前管理。以事前绩效评估为抓手，结合项目绩效目标，注重把控项目成本和增强项目产出效益。二是在申报项目时，需要设置与项目执行相适应的定量和定性相结合的绩效目标，尽可能从项目目标、产出数量、产出质量、产出时效、产出成本、项目效益等方面设置可量化、了比较、可追踪的细化绩效指标，有效发挥绩效目标的引领和约束作用，提升预算绩效管理成效。</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根据项目建设的轻重缓急，合理分配财政资金，不断提高资金使用效益，加强项目过程性管理。项目预算需严格按照预算批复进行预算开支，一是根据项目进度进行合理预算安排，提高资金使用的针对性和科学性。二是完善各项内部管理制度，预算执行过程中需定期分析预算执行进度和经费支出情况，加强预算执行管理，形成领导重视、部门联动、衔接紧密、齐抓共管，共同促进预算执行的良好格局。三是建立项目执行跟踪监管机制，确保项目资金使用有效性。建立健全事前事中事后一体化的预算执行动态监管机制，及时跟踪项目资金的使用方向、使用进度，并加强进度控制和质量控制，同时对在绩效评价和监督管理中发现的问题，应及时跟踪核查，并强化结果运用，确保实现预期绩效目标，全面提升财政财务监督管理水平。</w:t>
      </w:r>
    </w:p>
    <w:p w:rsidR="00B61D3D" w:rsidRDefault="00AC3343">
      <w:pPr>
        <w:spacing w:line="6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4.加强满意度调研，促进服务质量提升。满意度调查是长期的重要工作内容，应建立满意度评价的长效机制，常态</w:t>
      </w:r>
      <w:r>
        <w:rPr>
          <w:rFonts w:ascii="仿宋_GB2312" w:eastAsia="仿宋_GB2312" w:hAnsi="宋体" w:cs="宋体" w:hint="eastAsia"/>
          <w:color w:val="000000"/>
          <w:kern w:val="0"/>
          <w:sz w:val="32"/>
          <w:szCs w:val="32"/>
        </w:rPr>
        <w:lastRenderedPageBreak/>
        <w:t>化组织开展满意度调查，促进各项财政支出项目的服务水平和质量提升，确保服务实效。同时应对各项目常态化满意度调查结果进行收集整理分析，强化调查结果运用，并可基于调查结果来进行绩效评价满意度指标的评价。</w:t>
      </w:r>
    </w:p>
    <w:p w:rsidR="00B61D3D" w:rsidRDefault="00AC3343">
      <w:pPr>
        <w:pStyle w:val="1"/>
        <w:rPr>
          <w:sz w:val="32"/>
          <w:szCs w:val="32"/>
        </w:rPr>
      </w:pPr>
      <w:bookmarkStart w:id="1" w:name="_Toc103006301"/>
      <w:r>
        <w:rPr>
          <w:rFonts w:hint="eastAsia"/>
          <w:sz w:val="32"/>
          <w:szCs w:val="32"/>
        </w:rPr>
        <w:t>七、附件</w:t>
      </w:r>
      <w:bookmarkEnd w:id="1"/>
    </w:p>
    <w:p w:rsidR="00B61D3D" w:rsidRDefault="00AC3343">
      <w:pPr>
        <w:spacing w:line="600" w:lineRule="exact"/>
        <w:ind w:firstLine="641"/>
        <w:rPr>
          <w:rFonts w:ascii="仿宋_GB2312" w:eastAsia="仿宋_GB2312" w:hAnsi="仿宋_GB2312" w:cs="仿宋_GB2312"/>
          <w:sz w:val="32"/>
          <w:szCs w:val="32"/>
        </w:rPr>
        <w:sectPr w:rsidR="00B61D3D">
          <w:footerReference w:type="default" r:id="rId8"/>
          <w:pgSz w:w="11906" w:h="16838"/>
          <w:pgMar w:top="1440" w:right="1800" w:bottom="1440" w:left="1800" w:header="851" w:footer="964" w:gutter="0"/>
          <w:pgNumType w:start="1"/>
          <w:cols w:space="425"/>
          <w:docGrid w:type="lines" w:linePitch="435"/>
        </w:sectPr>
      </w:pPr>
      <w:r>
        <w:rPr>
          <w:rFonts w:ascii="仿宋_GB2312" w:eastAsia="仿宋_GB2312" w:hAnsi="仿宋_GB2312" w:cs="仿宋_GB2312" w:hint="eastAsia"/>
          <w:sz w:val="32"/>
          <w:szCs w:val="32"/>
        </w:rPr>
        <w:t>2022年部门整体绩效评价指标体系评分表</w:t>
      </w:r>
    </w:p>
    <w:p w:rsidR="00B61D3D" w:rsidRDefault="00AC3343">
      <w:pPr>
        <w:spacing w:line="560" w:lineRule="exact"/>
        <w:jc w:val="left"/>
        <w:rPr>
          <w:rFonts w:ascii="方正黑体_GBK" w:eastAsia="方正黑体_GBK" w:hAnsi="方正黑体_GBK" w:cs="方正黑体_GBK"/>
          <w:sz w:val="32"/>
        </w:rPr>
      </w:pPr>
      <w:r>
        <w:rPr>
          <w:rFonts w:ascii="方正黑体_GBK" w:eastAsia="方正黑体_GBK" w:hAnsi="方正黑体_GBK" w:cs="方正黑体_GBK" w:hint="eastAsia"/>
          <w:sz w:val="32"/>
        </w:rPr>
        <w:lastRenderedPageBreak/>
        <w:t>附件</w:t>
      </w:r>
    </w:p>
    <w:tbl>
      <w:tblPr>
        <w:tblW w:w="5000" w:type="pct"/>
        <w:tblLayout w:type="fixed"/>
        <w:tblLook w:val="04A0" w:firstRow="1" w:lastRow="0" w:firstColumn="1" w:lastColumn="0" w:noHBand="0" w:noVBand="1"/>
      </w:tblPr>
      <w:tblGrid>
        <w:gridCol w:w="1192"/>
        <w:gridCol w:w="703"/>
        <w:gridCol w:w="2072"/>
        <w:gridCol w:w="283"/>
        <w:gridCol w:w="748"/>
        <w:gridCol w:w="1366"/>
        <w:gridCol w:w="723"/>
        <w:gridCol w:w="785"/>
        <w:gridCol w:w="3436"/>
        <w:gridCol w:w="2866"/>
      </w:tblGrid>
      <w:tr w:rsidR="00B61D3D">
        <w:trPr>
          <w:cantSplit/>
          <w:trHeight w:val="90"/>
        </w:trPr>
        <w:tc>
          <w:tcPr>
            <w:tcW w:w="5000" w:type="pct"/>
            <w:gridSpan w:val="10"/>
            <w:tcBorders>
              <w:top w:val="nil"/>
              <w:left w:val="nil"/>
              <w:bottom w:val="single" w:sz="4" w:space="0" w:color="auto"/>
              <w:right w:val="nil"/>
            </w:tcBorders>
            <w:noWrap/>
            <w:vAlign w:val="bottom"/>
          </w:tcPr>
          <w:p w:rsidR="00B61D3D" w:rsidRPr="009D573E" w:rsidRDefault="00AC3343">
            <w:pPr>
              <w:widowControl/>
              <w:jc w:val="center"/>
              <w:rPr>
                <w:rFonts w:ascii="华文新魏" w:eastAsia="华文新魏" w:hAnsi="黑体" w:cs="宋体"/>
                <w:color w:val="000000"/>
                <w:kern w:val="0"/>
                <w:sz w:val="44"/>
                <w:szCs w:val="44"/>
                <w:highlight w:val="yellow"/>
              </w:rPr>
            </w:pPr>
            <w:r w:rsidRPr="009D573E">
              <w:rPr>
                <w:rFonts w:ascii="华文新魏" w:eastAsia="华文新魏" w:hAnsi="黑体" w:cs="宋体" w:hint="eastAsia"/>
                <w:color w:val="000000"/>
                <w:kern w:val="0"/>
                <w:sz w:val="44"/>
                <w:szCs w:val="44"/>
              </w:rPr>
              <w:t>2022年部门整体绩效评价指标体系评分表</w:t>
            </w:r>
          </w:p>
        </w:tc>
      </w:tr>
      <w:tr w:rsidR="00B61D3D">
        <w:trPr>
          <w:cantSplit/>
          <w:trHeight w:val="470"/>
        </w:trPr>
        <w:tc>
          <w:tcPr>
            <w:tcW w:w="5000" w:type="pct"/>
            <w:gridSpan w:val="10"/>
            <w:tcBorders>
              <w:top w:val="single" w:sz="4" w:space="0" w:color="auto"/>
              <w:left w:val="single" w:sz="4" w:space="0" w:color="auto"/>
              <w:bottom w:val="single" w:sz="4" w:space="0" w:color="000000"/>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一、</w:t>
            </w:r>
            <w:r>
              <w:rPr>
                <w:rFonts w:ascii="宋体" w:hAnsi="宋体" w:cs="宋体" w:hint="eastAsia"/>
                <w:color w:val="000000"/>
                <w:kern w:val="0"/>
                <w:sz w:val="20"/>
                <w:szCs w:val="20"/>
              </w:rPr>
              <w:t>当年预算执行情况（20分）</w:t>
            </w:r>
          </w:p>
        </w:tc>
      </w:tr>
      <w:tr w:rsidR="00B61D3D">
        <w:trPr>
          <w:cantSplit/>
          <w:trHeight w:val="660"/>
        </w:trPr>
        <w:tc>
          <w:tcPr>
            <w:tcW w:w="420"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24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预算数（万元）</w:t>
            </w:r>
          </w:p>
        </w:tc>
        <w:tc>
          <w:tcPr>
            <w:tcW w:w="264"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执行数（万元）</w:t>
            </w:r>
          </w:p>
        </w:tc>
        <w:tc>
          <w:tcPr>
            <w:tcW w:w="480"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预算执行率</w:t>
            </w:r>
          </w:p>
        </w:tc>
        <w:tc>
          <w:tcPr>
            <w:tcW w:w="255"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77"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指标解释</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评分标准</w:t>
            </w:r>
          </w:p>
        </w:tc>
      </w:tr>
      <w:tr w:rsidR="00B61D3D">
        <w:trPr>
          <w:cantSplit/>
          <w:trHeight w:val="630"/>
        </w:trPr>
        <w:tc>
          <w:tcPr>
            <w:tcW w:w="420" w:type="pct"/>
            <w:vMerge w:val="restart"/>
            <w:tcBorders>
              <w:top w:val="nil"/>
              <w:left w:val="single" w:sz="4" w:space="0" w:color="auto"/>
              <w:bottom w:val="single" w:sz="4" w:space="0" w:color="000000"/>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当年预算执行情况（20）</w:t>
            </w:r>
          </w:p>
        </w:tc>
        <w:tc>
          <w:tcPr>
            <w:tcW w:w="24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资金总体</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1699.30</w:t>
            </w:r>
          </w:p>
        </w:tc>
        <w:tc>
          <w:tcPr>
            <w:tcW w:w="264"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1598.66　</w:t>
            </w:r>
          </w:p>
        </w:tc>
        <w:tc>
          <w:tcPr>
            <w:tcW w:w="480"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94.08%　</w:t>
            </w:r>
          </w:p>
        </w:tc>
        <w:tc>
          <w:tcPr>
            <w:tcW w:w="255" w:type="pct"/>
            <w:vMerge w:val="restart"/>
            <w:tcBorders>
              <w:top w:val="single" w:sz="4" w:space="0" w:color="auto"/>
              <w:left w:val="single" w:sz="4" w:space="0" w:color="auto"/>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277" w:type="pct"/>
            <w:vMerge w:val="restart"/>
            <w:tcBorders>
              <w:top w:val="single" w:sz="4" w:space="0" w:color="auto"/>
              <w:left w:val="single" w:sz="4" w:space="0" w:color="auto"/>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18.82　</w:t>
            </w:r>
          </w:p>
        </w:tc>
        <w:tc>
          <w:tcPr>
            <w:tcW w:w="1212"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部门全年执行数与全年预算数的比率。资金总体=基本支出+项目支出+其他</w:t>
            </w:r>
          </w:p>
        </w:tc>
        <w:tc>
          <w:tcPr>
            <w:tcW w:w="1008" w:type="pct"/>
            <w:vMerge w:val="restart"/>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①得分一档最高不能超过该指标分值上限（20分）。</w:t>
            </w:r>
            <w:r>
              <w:rPr>
                <w:rFonts w:ascii="宋体" w:hAnsi="宋体" w:cs="宋体" w:hint="eastAsia"/>
                <w:color w:val="000000"/>
                <w:kern w:val="0"/>
                <w:sz w:val="18"/>
                <w:szCs w:val="18"/>
              </w:rPr>
              <w:b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rsidR="00B61D3D">
        <w:trPr>
          <w:cantSplit/>
          <w:trHeight w:val="60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single" w:sz="4" w:space="0" w:color="auto"/>
              <w:left w:val="single" w:sz="4" w:space="0" w:color="auto"/>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基本支出</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1376.23　</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1345.89</w:t>
            </w:r>
          </w:p>
        </w:tc>
        <w:tc>
          <w:tcPr>
            <w:tcW w:w="480"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255"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vMerge/>
            <w:tcBorders>
              <w:top w:val="single" w:sz="4" w:space="0" w:color="auto"/>
              <w:left w:val="nil"/>
              <w:bottom w:val="single" w:sz="4" w:space="0" w:color="auto"/>
              <w:right w:val="nil"/>
            </w:tcBorders>
            <w:vAlign w:val="center"/>
          </w:tcPr>
          <w:p w:rsidR="00B61D3D" w:rsidRDefault="00B61D3D">
            <w:pPr>
              <w:widowControl/>
              <w:jc w:val="left"/>
              <w:rPr>
                <w:rFonts w:ascii="宋体" w:hAnsi="宋体" w:cs="宋体"/>
                <w:color w:val="000000"/>
                <w:kern w:val="0"/>
                <w:sz w:val="20"/>
                <w:szCs w:val="20"/>
              </w:rPr>
            </w:pPr>
          </w:p>
        </w:tc>
        <w:tc>
          <w:tcPr>
            <w:tcW w:w="1212"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615"/>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single" w:sz="4" w:space="0" w:color="auto"/>
              <w:left w:val="single" w:sz="4" w:space="0" w:color="auto"/>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项目支出</w:t>
            </w:r>
          </w:p>
        </w:tc>
        <w:tc>
          <w:tcPr>
            <w:tcW w:w="831" w:type="pct"/>
            <w:gridSpan w:val="2"/>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323.06　</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252.77　</w:t>
            </w:r>
          </w:p>
        </w:tc>
        <w:tc>
          <w:tcPr>
            <w:tcW w:w="480"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vMerge/>
            <w:tcBorders>
              <w:top w:val="single" w:sz="4" w:space="0" w:color="auto"/>
              <w:left w:val="nil"/>
              <w:bottom w:val="single" w:sz="4" w:space="0" w:color="auto"/>
              <w:right w:val="nil"/>
            </w:tcBorders>
            <w:vAlign w:val="center"/>
          </w:tcPr>
          <w:p w:rsidR="00B61D3D" w:rsidRDefault="00B61D3D">
            <w:pPr>
              <w:widowControl/>
              <w:jc w:val="left"/>
              <w:rPr>
                <w:rFonts w:ascii="宋体" w:hAnsi="宋体" w:cs="宋体"/>
                <w:color w:val="000000"/>
                <w:kern w:val="0"/>
                <w:sz w:val="20"/>
                <w:szCs w:val="20"/>
              </w:rPr>
            </w:pPr>
          </w:p>
        </w:tc>
        <w:tc>
          <w:tcPr>
            <w:tcW w:w="1212"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2136"/>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0　</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0　</w:t>
            </w:r>
          </w:p>
        </w:tc>
        <w:tc>
          <w:tcPr>
            <w:tcW w:w="480"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vMerge/>
            <w:tcBorders>
              <w:top w:val="single" w:sz="4" w:space="0" w:color="auto"/>
              <w:left w:val="nil"/>
              <w:bottom w:val="single" w:sz="4" w:space="0" w:color="auto"/>
              <w:right w:val="nil"/>
            </w:tcBorders>
            <w:vAlign w:val="center"/>
          </w:tcPr>
          <w:p w:rsidR="00B61D3D" w:rsidRDefault="00B61D3D">
            <w:pPr>
              <w:widowControl/>
              <w:jc w:val="left"/>
              <w:rPr>
                <w:rFonts w:ascii="宋体" w:hAnsi="宋体" w:cs="宋体"/>
                <w:color w:val="000000"/>
                <w:kern w:val="0"/>
                <w:sz w:val="20"/>
                <w:szCs w:val="20"/>
              </w:rPr>
            </w:pPr>
          </w:p>
        </w:tc>
        <w:tc>
          <w:tcPr>
            <w:tcW w:w="1212"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479"/>
        </w:trPr>
        <w:tc>
          <w:tcPr>
            <w:tcW w:w="5000" w:type="pct"/>
            <w:gridSpan w:val="10"/>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二</w:t>
            </w:r>
            <w:r>
              <w:rPr>
                <w:rFonts w:ascii="宋体" w:hAnsi="宋体" w:cs="宋体"/>
                <w:color w:val="000000"/>
                <w:kern w:val="0"/>
                <w:sz w:val="18"/>
                <w:szCs w:val="18"/>
              </w:rPr>
              <w:t>、</w:t>
            </w:r>
            <w:r>
              <w:rPr>
                <w:rFonts w:ascii="宋体" w:hAnsi="宋体" w:cs="宋体" w:hint="eastAsia"/>
                <w:color w:val="000000"/>
                <w:kern w:val="0"/>
                <w:sz w:val="20"/>
                <w:szCs w:val="20"/>
              </w:rPr>
              <w:t>整体绩效目标实现情况（60分）</w:t>
            </w:r>
          </w:p>
        </w:tc>
      </w:tr>
      <w:tr w:rsidR="00B61D3D">
        <w:trPr>
          <w:cantSplit/>
          <w:trHeight w:val="499"/>
        </w:trPr>
        <w:tc>
          <w:tcPr>
            <w:tcW w:w="420"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p>
        </w:tc>
        <w:tc>
          <w:tcPr>
            <w:tcW w:w="248"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r>
              <w:rPr>
                <w:rFonts w:ascii="宋体" w:hAnsi="宋体" w:cs="宋体"/>
                <w:color w:val="000000"/>
                <w:kern w:val="0"/>
                <w:sz w:val="20"/>
                <w:szCs w:val="20"/>
              </w:rPr>
              <w:t>级指标</w:t>
            </w:r>
            <w:r>
              <w:rPr>
                <w:rFonts w:ascii="宋体" w:hAnsi="宋体" w:cs="宋体" w:hint="eastAsia"/>
                <w:color w:val="000000"/>
                <w:kern w:val="0"/>
                <w:sz w:val="20"/>
                <w:szCs w:val="20"/>
              </w:rPr>
              <w:t xml:space="preserve">　</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指标值</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完成值</w:t>
            </w:r>
          </w:p>
        </w:tc>
        <w:tc>
          <w:tcPr>
            <w:tcW w:w="255"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77" w:type="pct"/>
            <w:tcBorders>
              <w:top w:val="single" w:sz="4" w:space="0" w:color="auto"/>
              <w:left w:val="nil"/>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00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18"/>
                <w:szCs w:val="18"/>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B61D3D">
        <w:trPr>
          <w:cantSplit/>
          <w:trHeight w:val="480"/>
        </w:trPr>
        <w:tc>
          <w:tcPr>
            <w:tcW w:w="420"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整体绩效目标实现情况（60）</w:t>
            </w:r>
          </w:p>
        </w:tc>
        <w:tc>
          <w:tcPr>
            <w:tcW w:w="248" w:type="pct"/>
            <w:vMerge w:val="restart"/>
            <w:tcBorders>
              <w:top w:val="single" w:sz="4" w:space="0" w:color="auto"/>
              <w:left w:val="nil"/>
              <w:right w:val="single" w:sz="4" w:space="0" w:color="auto"/>
            </w:tcBorders>
            <w:vAlign w:val="center"/>
          </w:tcPr>
          <w:p w:rsidR="00B61D3D" w:rsidRDefault="00B61D3D">
            <w:pPr>
              <w:widowControl/>
              <w:jc w:val="center"/>
              <w:rPr>
                <w:rFonts w:ascii="宋体" w:hAnsi="宋体" w:cs="宋体"/>
                <w:color w:val="000000"/>
                <w:kern w:val="0"/>
                <w:sz w:val="20"/>
                <w:szCs w:val="20"/>
              </w:rPr>
            </w:pPr>
          </w:p>
          <w:p w:rsidR="00B61D3D" w:rsidRDefault="00AC3343">
            <w:pPr>
              <w:jc w:val="center"/>
              <w:rPr>
                <w:rFonts w:ascii="宋体" w:hAnsi="宋体" w:cs="宋体"/>
                <w:color w:val="000000"/>
                <w:kern w:val="0"/>
                <w:sz w:val="20"/>
                <w:szCs w:val="20"/>
              </w:rPr>
            </w:pPr>
            <w:r>
              <w:rPr>
                <w:rFonts w:ascii="宋体" w:hAnsi="宋体" w:cs="宋体" w:hint="eastAsia"/>
                <w:color w:val="000000"/>
                <w:kern w:val="0"/>
                <w:sz w:val="20"/>
                <w:szCs w:val="20"/>
              </w:rPr>
              <w:t>产出（30）</w:t>
            </w: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上级采用社情民意信息</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66</w:t>
            </w:r>
          </w:p>
        </w:tc>
        <w:tc>
          <w:tcPr>
            <w:tcW w:w="255" w:type="pct"/>
            <w:vMerge w:val="restart"/>
            <w:tcBorders>
              <w:top w:val="single" w:sz="4" w:space="0" w:color="auto"/>
              <w:left w:val="nil"/>
              <w:bottom w:val="single" w:sz="4" w:space="0" w:color="auto"/>
              <w:right w:val="single" w:sz="4" w:space="0" w:color="auto"/>
            </w:tcBorders>
            <w:vAlign w:val="center"/>
          </w:tcPr>
          <w:p w:rsidR="00B61D3D" w:rsidRDefault="00B61D3D">
            <w:pPr>
              <w:widowControl/>
              <w:jc w:val="center"/>
              <w:rPr>
                <w:rFonts w:ascii="宋体" w:hAnsi="宋体" w:cs="宋体"/>
                <w:color w:val="000000"/>
                <w:kern w:val="0"/>
                <w:sz w:val="20"/>
                <w:szCs w:val="20"/>
              </w:rPr>
            </w:pPr>
          </w:p>
          <w:p w:rsidR="00B61D3D" w:rsidRDefault="00AC3343">
            <w:pPr>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77" w:type="pct"/>
            <w:tcBorders>
              <w:top w:val="single" w:sz="4" w:space="0" w:color="auto"/>
              <w:left w:val="nil"/>
              <w:bottom w:val="single" w:sz="4" w:space="0" w:color="auto"/>
              <w:right w:val="nil"/>
            </w:tcBorders>
            <w:vAlign w:val="center"/>
          </w:tcPr>
          <w:p w:rsidR="00B61D3D" w:rsidRDefault="00AC3343">
            <w:pPr>
              <w:ind w:firstLineChars="100" w:firstLine="200"/>
              <w:rPr>
                <w:rFonts w:ascii="宋体" w:hAnsi="宋体" w:cs="宋体"/>
                <w:color w:val="000000"/>
                <w:kern w:val="0"/>
                <w:sz w:val="20"/>
                <w:szCs w:val="20"/>
              </w:rPr>
            </w:pPr>
            <w:r>
              <w:rPr>
                <w:rFonts w:ascii="宋体" w:hAnsi="宋体" w:cs="宋体" w:hint="eastAsia"/>
                <w:color w:val="000000"/>
                <w:kern w:val="0"/>
                <w:sz w:val="20"/>
                <w:szCs w:val="20"/>
              </w:rPr>
              <w:t>2</w:t>
            </w:r>
          </w:p>
        </w:tc>
        <w:tc>
          <w:tcPr>
            <w:tcW w:w="1212"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产出数量</w:t>
            </w:r>
            <w:r>
              <w:rPr>
                <w:rFonts w:ascii="宋体" w:hAnsi="宋体" w:cs="宋体" w:hint="eastAsia"/>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ascii="宋体" w:hAnsi="宋体" w:cs="宋体" w:hint="eastAsia"/>
                <w:b/>
                <w:bCs/>
                <w:color w:val="000000"/>
                <w:kern w:val="0"/>
                <w:sz w:val="18"/>
                <w:szCs w:val="18"/>
              </w:rPr>
              <w:t>产出质量</w:t>
            </w:r>
            <w:r>
              <w:rPr>
                <w:rFonts w:ascii="宋体" w:hAnsi="宋体" w:cs="宋体" w:hint="eastAsia"/>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ascii="宋体" w:hAnsi="宋体" w:cs="宋体" w:hint="eastAsia"/>
                <w:b/>
                <w:bCs/>
                <w:color w:val="000000"/>
                <w:kern w:val="0"/>
                <w:sz w:val="18"/>
                <w:szCs w:val="18"/>
              </w:rPr>
              <w:t>产出进度：</w:t>
            </w:r>
            <w:r>
              <w:rPr>
                <w:rFonts w:ascii="宋体" w:hAnsi="宋体" w:cs="宋体" w:hint="eastAsia"/>
                <w:color w:val="000000"/>
                <w:kern w:val="0"/>
                <w:sz w:val="18"/>
                <w:szCs w:val="18"/>
              </w:rPr>
              <w:t>按时完成率=（按时完成工作数/实际完成工作数）×100%。按时完成工作数：部门（单位）按照整体绩效目标确定的时限实际完成的工作任务数量。</w:t>
            </w:r>
            <w:r>
              <w:rPr>
                <w:rFonts w:ascii="宋体" w:hAnsi="宋体" w:cs="宋体" w:hint="eastAsia"/>
                <w:b/>
                <w:bCs/>
                <w:color w:val="000000"/>
                <w:kern w:val="0"/>
                <w:sz w:val="18"/>
                <w:szCs w:val="18"/>
              </w:rPr>
              <w:t>产出成本</w:t>
            </w:r>
            <w:r>
              <w:rPr>
                <w:rFonts w:ascii="宋体" w:hAnsi="宋体" w:cs="宋体" w:hint="eastAsia"/>
                <w:color w:val="000000"/>
                <w:kern w:val="0"/>
                <w:sz w:val="18"/>
                <w:szCs w:val="18"/>
              </w:rPr>
              <w:t>：单位产出相对于上一年度的节约额；②单位产出相对于市场同类产出的节约额；③部门公用经费的控制情况。</w:t>
            </w:r>
          </w:p>
        </w:tc>
        <w:tc>
          <w:tcPr>
            <w:tcW w:w="1008"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rsidR="00B61D3D">
        <w:trPr>
          <w:cantSplit/>
          <w:trHeight w:val="402"/>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社情民意信息</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100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581</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09"/>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统战部调研优秀</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34"/>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调研报告</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20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09"/>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议政会协商发言</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2</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4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换届代表培训会</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280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22"/>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新党员培训班</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150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200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32"/>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基层负责人培训班</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100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0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全年助力精准帮扶活动</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3</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8</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665"/>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帮扶云南曲靖、贵州项目活动</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46"/>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全年8+1项目活动</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64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宣传市委会各项活动开展政务公开等</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1000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883</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99"/>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全年报送党员社情民意信息</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400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659</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464"/>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统计全年党员履职情况</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2000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2300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371"/>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召开宣传思想工作会</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418"/>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《北京农工》刊物党员邮寄</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6000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600</w:t>
            </w:r>
            <w:r>
              <w:rPr>
                <w:rFonts w:ascii="宋体" w:hAnsi="宋体" w:cs="宋体"/>
                <w:kern w:val="0"/>
                <w:sz w:val="18"/>
                <w:szCs w:val="18"/>
              </w:rPr>
              <w:t>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159"/>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北京农工微信公众号推出</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160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271</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389"/>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开展主题教育活动</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39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《北京农工》刊物出版</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4</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422"/>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基层组织调研报告</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10</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13</w:t>
            </w:r>
          </w:p>
        </w:tc>
        <w:tc>
          <w:tcPr>
            <w:tcW w:w="255" w:type="pct"/>
            <w:vMerge/>
            <w:tcBorders>
              <w:top w:val="single" w:sz="4" w:space="0" w:color="auto"/>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561"/>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nil"/>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基层组织全年开展主题活动</w:t>
            </w:r>
          </w:p>
        </w:tc>
        <w:tc>
          <w:tcPr>
            <w:tcW w:w="264"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10</w:t>
            </w:r>
          </w:p>
        </w:tc>
        <w:tc>
          <w:tcPr>
            <w:tcW w:w="480"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55" w:type="pct"/>
            <w:vMerge/>
            <w:tcBorders>
              <w:left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nil"/>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　</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431"/>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nil"/>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调研报告被市委采用数</w:t>
            </w:r>
          </w:p>
        </w:tc>
        <w:tc>
          <w:tcPr>
            <w:tcW w:w="264"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5</w:t>
            </w:r>
          </w:p>
        </w:tc>
        <w:tc>
          <w:tcPr>
            <w:tcW w:w="480"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kern w:val="0"/>
                <w:sz w:val="18"/>
                <w:szCs w:val="18"/>
              </w:rPr>
              <w:t>5</w:t>
            </w:r>
          </w:p>
        </w:tc>
        <w:tc>
          <w:tcPr>
            <w:tcW w:w="255" w:type="pct"/>
            <w:vMerge/>
            <w:tcBorders>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nil"/>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6　</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675"/>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val="restart"/>
            <w:tcBorders>
              <w:top w:val="nil"/>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效果（30）</w:t>
            </w:r>
          </w:p>
        </w:tc>
        <w:tc>
          <w:tcPr>
            <w:tcW w:w="831" w:type="pct"/>
            <w:gridSpan w:val="2"/>
            <w:tcBorders>
              <w:top w:val="nil"/>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部署主题</w:t>
            </w:r>
            <w:r>
              <w:rPr>
                <w:rFonts w:ascii="宋体" w:hAnsi="宋体" w:cs="宋体"/>
                <w:color w:val="000000"/>
                <w:kern w:val="0"/>
                <w:sz w:val="18"/>
                <w:szCs w:val="18"/>
              </w:rPr>
              <w:t>教育活动</w:t>
            </w:r>
          </w:p>
        </w:tc>
        <w:tc>
          <w:tcPr>
            <w:tcW w:w="264"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480"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255" w:type="pct"/>
            <w:vMerge w:val="restart"/>
            <w:tcBorders>
              <w:top w:val="nil"/>
              <w:left w:val="single" w:sz="4" w:space="0" w:color="auto"/>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77" w:type="pct"/>
            <w:tcBorders>
              <w:top w:val="nil"/>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　</w:t>
            </w:r>
          </w:p>
        </w:tc>
        <w:tc>
          <w:tcPr>
            <w:tcW w:w="1212" w:type="pct"/>
            <w:vMerge w:val="restart"/>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经济效益</w:t>
            </w:r>
            <w:r>
              <w:rPr>
                <w:rFonts w:ascii="宋体" w:hAnsi="宋体" w:cs="宋体" w:hint="eastAsia"/>
                <w:color w:val="000000"/>
                <w:kern w:val="0"/>
                <w:sz w:val="18"/>
                <w:szCs w:val="18"/>
              </w:rPr>
              <w:t>：部门（单位）履行职责对经济发展所带来的直接或间接影响。</w:t>
            </w:r>
            <w:r>
              <w:rPr>
                <w:rFonts w:ascii="宋体" w:hAnsi="宋体" w:cs="宋体" w:hint="eastAsia"/>
                <w:b/>
                <w:bCs/>
                <w:color w:val="000000"/>
                <w:kern w:val="0"/>
                <w:sz w:val="18"/>
                <w:szCs w:val="18"/>
              </w:rPr>
              <w:t>社会效益</w:t>
            </w:r>
            <w:r>
              <w:rPr>
                <w:rFonts w:ascii="宋体" w:hAnsi="宋体" w:cs="宋体" w:hint="eastAsia"/>
                <w:color w:val="000000"/>
                <w:kern w:val="0"/>
                <w:sz w:val="18"/>
                <w:szCs w:val="18"/>
              </w:rPr>
              <w:t>：部门（单位）履行职责对社会发展所带来的直接或间接影响。</w:t>
            </w:r>
            <w:r>
              <w:rPr>
                <w:rFonts w:ascii="宋体" w:hAnsi="宋体" w:cs="宋体" w:hint="eastAsia"/>
                <w:b/>
                <w:bCs/>
                <w:color w:val="000000"/>
                <w:kern w:val="0"/>
                <w:sz w:val="18"/>
                <w:szCs w:val="18"/>
              </w:rPr>
              <w:t>环境效益</w:t>
            </w:r>
            <w:r>
              <w:rPr>
                <w:rFonts w:ascii="宋体" w:hAnsi="宋体" w:cs="宋体" w:hint="eastAsia"/>
                <w:color w:val="000000"/>
                <w:kern w:val="0"/>
                <w:sz w:val="18"/>
                <w:szCs w:val="18"/>
              </w:rPr>
              <w:t>：部门（单位）履行职责对环境所带来的直接或间接影响。</w:t>
            </w:r>
            <w:r>
              <w:rPr>
                <w:rFonts w:ascii="宋体" w:hAnsi="宋体" w:cs="宋体" w:hint="eastAsia"/>
                <w:b/>
                <w:bCs/>
                <w:color w:val="000000"/>
                <w:kern w:val="0"/>
                <w:sz w:val="18"/>
                <w:szCs w:val="18"/>
              </w:rPr>
              <w:t>可持续性影响：</w:t>
            </w:r>
            <w:r>
              <w:rPr>
                <w:rFonts w:ascii="宋体" w:hAnsi="宋体" w:cs="宋体" w:hint="eastAsia"/>
                <w:color w:val="000000"/>
                <w:kern w:val="0"/>
                <w:sz w:val="18"/>
                <w:szCs w:val="18"/>
              </w:rPr>
              <w:t>部门绩效目标实现的长效机制建设情况，部门工作效率提升措施的创新。</w:t>
            </w:r>
            <w:r>
              <w:rPr>
                <w:rFonts w:ascii="宋体" w:hAnsi="宋体" w:cs="宋体" w:hint="eastAsia"/>
                <w:b/>
                <w:bCs/>
                <w:color w:val="000000"/>
                <w:kern w:val="0"/>
                <w:sz w:val="18"/>
                <w:szCs w:val="18"/>
              </w:rPr>
              <w:t>服务对象满意度</w:t>
            </w:r>
            <w:r>
              <w:rPr>
                <w:rFonts w:ascii="宋体" w:hAnsi="宋体" w:cs="宋体" w:hint="eastAsia"/>
                <w:color w:val="000000"/>
                <w:kern w:val="0"/>
                <w:sz w:val="18"/>
                <w:szCs w:val="18"/>
              </w:rPr>
              <w:t>：部门（单位）的服务对象对部门履职效果的满意程度。</w:t>
            </w:r>
          </w:p>
        </w:tc>
        <w:tc>
          <w:tcPr>
            <w:tcW w:w="1008" w:type="pct"/>
            <w:vMerge w:val="restart"/>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部门根据实际情况选择指标进行填写，并将其细化为相应的个性化指标。对于效益类指标可从受益对象瞄准度、受益广度和受益深度上进行设计分析。</w:t>
            </w:r>
          </w:p>
        </w:tc>
      </w:tr>
      <w:tr w:rsidR="00B61D3D">
        <w:trPr>
          <w:cantSplit/>
          <w:trHeight w:val="63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nil"/>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宣传</w:t>
            </w:r>
            <w:r>
              <w:rPr>
                <w:rFonts w:ascii="宋体" w:hAnsi="宋体" w:cs="宋体"/>
                <w:color w:val="000000"/>
                <w:kern w:val="0"/>
                <w:sz w:val="18"/>
                <w:szCs w:val="18"/>
              </w:rPr>
              <w:t>党员优秀事迹</w:t>
            </w:r>
          </w:p>
        </w:tc>
        <w:tc>
          <w:tcPr>
            <w:tcW w:w="264"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480"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优</w:t>
            </w:r>
          </w:p>
        </w:tc>
        <w:tc>
          <w:tcPr>
            <w:tcW w:w="255"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nil"/>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　</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675"/>
        </w:trPr>
        <w:tc>
          <w:tcPr>
            <w:tcW w:w="420"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831" w:type="pct"/>
            <w:gridSpan w:val="2"/>
            <w:tcBorders>
              <w:top w:val="nil"/>
              <w:left w:val="nil"/>
              <w:bottom w:val="single" w:sz="4" w:space="0" w:color="auto"/>
              <w:right w:val="single" w:sz="4" w:space="0" w:color="auto"/>
            </w:tcBorders>
            <w:vAlign w:val="center"/>
          </w:tcPr>
          <w:p w:rsidR="00B61D3D" w:rsidRDefault="00AC3343">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宣传</w:t>
            </w:r>
            <w:r>
              <w:rPr>
                <w:rFonts w:ascii="宋体" w:hAnsi="宋体" w:cs="宋体"/>
                <w:color w:val="000000"/>
                <w:kern w:val="0"/>
                <w:sz w:val="18"/>
                <w:szCs w:val="18"/>
              </w:rPr>
              <w:t>思想工作满意度</w:t>
            </w:r>
          </w:p>
        </w:tc>
        <w:tc>
          <w:tcPr>
            <w:tcW w:w="264"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480" w:type="pct"/>
            <w:tcBorders>
              <w:top w:val="nil"/>
              <w:left w:val="nil"/>
              <w:bottom w:val="single" w:sz="4" w:space="0" w:color="auto"/>
              <w:right w:val="single" w:sz="4" w:space="0" w:color="auto"/>
            </w:tcBorders>
            <w:vAlign w:val="center"/>
          </w:tcPr>
          <w:p w:rsidR="00B61D3D" w:rsidRDefault="00AC3343">
            <w:pPr>
              <w:widowControl/>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255"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77" w:type="pct"/>
            <w:tcBorders>
              <w:top w:val="nil"/>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212"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c>
          <w:tcPr>
            <w:tcW w:w="100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18"/>
                <w:szCs w:val="18"/>
              </w:rPr>
            </w:pPr>
          </w:p>
        </w:tc>
      </w:tr>
      <w:tr w:rsidR="00B61D3D">
        <w:trPr>
          <w:cantSplit/>
          <w:trHeight w:val="487"/>
        </w:trPr>
        <w:tc>
          <w:tcPr>
            <w:tcW w:w="5000" w:type="pct"/>
            <w:gridSpan w:val="10"/>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三</w:t>
            </w:r>
            <w:r>
              <w:rPr>
                <w:rFonts w:ascii="宋体" w:hAnsi="宋体" w:cs="宋体"/>
                <w:color w:val="000000"/>
                <w:kern w:val="0"/>
                <w:sz w:val="18"/>
                <w:szCs w:val="18"/>
              </w:rPr>
              <w:t>、</w:t>
            </w:r>
            <w:r>
              <w:rPr>
                <w:rFonts w:ascii="宋体" w:hAnsi="宋体" w:cs="宋体" w:hint="eastAsia"/>
                <w:color w:val="000000"/>
                <w:kern w:val="0"/>
                <w:sz w:val="20"/>
                <w:szCs w:val="20"/>
              </w:rPr>
              <w:t>预算管理情况（20分）</w:t>
            </w:r>
          </w:p>
        </w:tc>
      </w:tr>
      <w:tr w:rsidR="00B61D3D">
        <w:trPr>
          <w:cantSplit/>
          <w:trHeight w:val="702"/>
        </w:trPr>
        <w:tc>
          <w:tcPr>
            <w:tcW w:w="420"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一</w:t>
            </w:r>
            <w:r>
              <w:rPr>
                <w:rFonts w:ascii="宋体" w:hAnsi="宋体" w:cs="宋体"/>
                <w:color w:val="000000"/>
                <w:kern w:val="0"/>
                <w:sz w:val="20"/>
                <w:szCs w:val="20"/>
              </w:rPr>
              <w:t>级指标</w:t>
            </w:r>
          </w:p>
        </w:tc>
        <w:tc>
          <w:tcPr>
            <w:tcW w:w="24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二</w:t>
            </w:r>
            <w:r>
              <w:rPr>
                <w:rFonts w:ascii="宋体" w:hAnsi="宋体" w:cs="宋体"/>
                <w:color w:val="000000"/>
                <w:kern w:val="0"/>
                <w:sz w:val="20"/>
                <w:szCs w:val="20"/>
              </w:rPr>
              <w:t>级指标</w:t>
            </w:r>
          </w:p>
        </w:tc>
        <w:tc>
          <w:tcPr>
            <w:tcW w:w="831" w:type="pct"/>
            <w:gridSpan w:val="2"/>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三</w:t>
            </w:r>
            <w:r>
              <w:rPr>
                <w:rFonts w:ascii="宋体" w:hAnsi="宋体" w:cs="宋体"/>
                <w:color w:val="000000"/>
                <w:kern w:val="0"/>
                <w:sz w:val="20"/>
                <w:szCs w:val="20"/>
              </w:rPr>
              <w:t>级指标</w:t>
            </w:r>
          </w:p>
        </w:tc>
        <w:tc>
          <w:tcPr>
            <w:tcW w:w="264"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指标</w:t>
            </w:r>
            <w:r>
              <w:rPr>
                <w:rFonts w:ascii="宋体" w:hAnsi="宋体" w:cs="宋体"/>
                <w:color w:val="000000"/>
                <w:kern w:val="0"/>
                <w:sz w:val="20"/>
                <w:szCs w:val="20"/>
              </w:rPr>
              <w:t>值</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完成</w:t>
            </w:r>
            <w:r>
              <w:rPr>
                <w:rFonts w:ascii="宋体" w:hAnsi="宋体" w:cs="宋体"/>
                <w:color w:val="000000"/>
                <w:kern w:val="0"/>
                <w:sz w:val="20"/>
                <w:szCs w:val="20"/>
              </w:rPr>
              <w:t>值</w:t>
            </w:r>
          </w:p>
        </w:tc>
        <w:tc>
          <w:tcPr>
            <w:tcW w:w="255" w:type="pct"/>
            <w:tcBorders>
              <w:top w:val="single" w:sz="4" w:space="0" w:color="auto"/>
              <w:left w:val="nil"/>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分</w:t>
            </w:r>
            <w:r>
              <w:rPr>
                <w:rFonts w:ascii="宋体" w:hAnsi="宋体" w:cs="宋体"/>
                <w:color w:val="000000"/>
                <w:kern w:val="0"/>
                <w:sz w:val="20"/>
                <w:szCs w:val="20"/>
              </w:rPr>
              <w:t>值</w:t>
            </w: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得</w:t>
            </w:r>
            <w:r>
              <w:rPr>
                <w:rFonts w:ascii="宋体" w:hAnsi="宋体" w:cs="宋体"/>
                <w:color w:val="000000"/>
                <w:kern w:val="0"/>
                <w:sz w:val="20"/>
                <w:szCs w:val="20"/>
              </w:rPr>
              <w:t>分</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b/>
                <w:bCs/>
                <w:color w:val="000000"/>
                <w:kern w:val="0"/>
                <w:sz w:val="18"/>
                <w:szCs w:val="18"/>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18"/>
                <w:szCs w:val="18"/>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B61D3D">
        <w:trPr>
          <w:cantSplit/>
          <w:trHeight w:val="1230"/>
        </w:trPr>
        <w:tc>
          <w:tcPr>
            <w:tcW w:w="420"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预算管理情况（20）</w:t>
            </w:r>
          </w:p>
        </w:tc>
        <w:tc>
          <w:tcPr>
            <w:tcW w:w="248" w:type="pct"/>
            <w:vMerge w:val="restar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财务管理（4）</w:t>
            </w:r>
          </w:p>
        </w:tc>
        <w:tc>
          <w:tcPr>
            <w:tcW w:w="731"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财务管理制度健全性</w:t>
            </w:r>
          </w:p>
        </w:tc>
        <w:tc>
          <w:tcPr>
            <w:tcW w:w="363" w:type="pct"/>
            <w:gridSpan w:val="2"/>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财务管理制度是否健全，会计核算制度是否完整</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财务管理制度健全，会计核算制度完整，尚需进一步完善规章制度。</w:t>
            </w:r>
          </w:p>
        </w:tc>
        <w:tc>
          <w:tcPr>
            <w:tcW w:w="255" w:type="pct"/>
            <w:tcBorders>
              <w:top w:val="single" w:sz="4" w:space="0" w:color="auto"/>
              <w:left w:val="nil"/>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2　</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财务管理制度健全性:</w:t>
            </w:r>
            <w:r>
              <w:rPr>
                <w:rFonts w:ascii="宋体" w:hAnsi="宋体" w:cs="宋体" w:hint="eastAsia"/>
                <w:color w:val="000000"/>
                <w:kern w:val="0"/>
                <w:sz w:val="18"/>
                <w:szCs w:val="18"/>
              </w:rPr>
              <w:t>部门（单位）为加强财务管理、规范财务行为而制定的管理制度。</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rsidR="00B61D3D">
        <w:trPr>
          <w:cantSplit/>
          <w:trHeight w:val="2220"/>
        </w:trPr>
        <w:tc>
          <w:tcPr>
            <w:tcW w:w="420" w:type="pct"/>
            <w:vMerge/>
            <w:tcBorders>
              <w:top w:val="single" w:sz="4" w:space="0" w:color="auto"/>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top w:val="single" w:sz="4" w:space="0" w:color="auto"/>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731"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资金使用合规性和安全性</w:t>
            </w:r>
          </w:p>
        </w:tc>
        <w:tc>
          <w:tcPr>
            <w:tcW w:w="363" w:type="pct"/>
            <w:gridSpan w:val="2"/>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资金是否符合预算资金相关规定，是否能够保证资金的安全性</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资金的使用按照国家财经法规和财务管理制度的规定，金额较大开支执行三重一大制度，不存在截留、挤占、挪用情况，公务卡使用有相关的制度规定约束，预算资金整体规范运行。　</w:t>
            </w:r>
          </w:p>
        </w:tc>
        <w:tc>
          <w:tcPr>
            <w:tcW w:w="255" w:type="pct"/>
            <w:tcBorders>
              <w:top w:val="single" w:sz="4" w:space="0" w:color="auto"/>
              <w:left w:val="nil"/>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77" w:type="pct"/>
            <w:tcBorders>
              <w:top w:val="single" w:sz="4" w:space="0" w:color="auto"/>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　</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资金使用合规性和安全性:</w:t>
            </w:r>
            <w:r>
              <w:rPr>
                <w:rFonts w:ascii="宋体" w:hAnsi="宋体" w:cs="宋体" w:hint="eastAsia"/>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rsidR="00B61D3D">
        <w:trPr>
          <w:cantSplit/>
          <w:trHeight w:val="41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vMerge/>
            <w:tcBorders>
              <w:top w:val="nil"/>
              <w:left w:val="single" w:sz="4" w:space="0" w:color="auto"/>
              <w:bottom w:val="single" w:sz="4" w:space="0" w:color="auto"/>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731" w:type="pct"/>
            <w:tcBorders>
              <w:top w:val="nil"/>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会计基础信息完善性</w:t>
            </w:r>
          </w:p>
        </w:tc>
        <w:tc>
          <w:tcPr>
            <w:tcW w:w="363" w:type="pct"/>
            <w:gridSpan w:val="2"/>
            <w:tcBorders>
              <w:top w:val="nil"/>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会计基础信息是否真实、完整、准确</w:t>
            </w:r>
          </w:p>
        </w:tc>
        <w:tc>
          <w:tcPr>
            <w:tcW w:w="480" w:type="pct"/>
            <w:tcBorders>
              <w:top w:val="nil"/>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严格执行政府会计制度，对真实的会计信息进行核算，及时提供合法、真实、准确和完整的会计信息。　　</w:t>
            </w:r>
          </w:p>
        </w:tc>
        <w:tc>
          <w:tcPr>
            <w:tcW w:w="255" w:type="pct"/>
            <w:tcBorders>
              <w:top w:val="nil"/>
              <w:left w:val="nil"/>
              <w:bottom w:val="single" w:sz="4" w:space="0" w:color="auto"/>
              <w:right w:val="single" w:sz="4" w:space="0" w:color="auto"/>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77" w:type="pct"/>
            <w:tcBorders>
              <w:top w:val="nil"/>
              <w:left w:val="nil"/>
              <w:bottom w:val="single" w:sz="4" w:space="0" w:color="auto"/>
              <w:right w:val="nil"/>
            </w:tcBorders>
            <w:noWrap/>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1</w:t>
            </w:r>
          </w:p>
        </w:tc>
        <w:tc>
          <w:tcPr>
            <w:tcW w:w="1212" w:type="pct"/>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会计基础信息完善性:</w:t>
            </w:r>
            <w:r>
              <w:rPr>
                <w:rFonts w:ascii="宋体" w:hAnsi="宋体" w:cs="宋体" w:hint="eastAsia"/>
                <w:color w:val="000000"/>
                <w:kern w:val="0"/>
                <w:sz w:val="18"/>
                <w:szCs w:val="18"/>
              </w:rPr>
              <w:t>部门（单位）会计基础信息情况。</w:t>
            </w:r>
          </w:p>
        </w:tc>
        <w:tc>
          <w:tcPr>
            <w:tcW w:w="1008" w:type="pct"/>
            <w:tcBorders>
              <w:top w:val="nil"/>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rsidR="00B61D3D">
        <w:trPr>
          <w:cantSplit/>
          <w:trHeight w:val="222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资产管理（4）</w:t>
            </w:r>
          </w:p>
        </w:tc>
        <w:tc>
          <w:tcPr>
            <w:tcW w:w="731"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资产管理规范性</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资产购置、处置、配置是否合理、规范</w:t>
            </w:r>
          </w:p>
        </w:tc>
        <w:tc>
          <w:tcPr>
            <w:tcW w:w="480"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资产购置按照预算资金和政府采购流程执行，资产配置符合资产相关管理规定，资产处置按照资产管理办法执行。不存在出租出借资产行为。需进一步完善资产管理制度。</w:t>
            </w:r>
          </w:p>
        </w:tc>
        <w:tc>
          <w:tcPr>
            <w:tcW w:w="255"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7"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4　</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资产管理规范性:</w:t>
            </w:r>
            <w:r>
              <w:rPr>
                <w:rFonts w:ascii="宋体" w:hAnsi="宋体" w:cs="宋体" w:hint="eastAsia"/>
                <w:color w:val="000000"/>
                <w:kern w:val="0"/>
                <w:sz w:val="18"/>
                <w:szCs w:val="18"/>
              </w:rPr>
              <w:t>部门（单位）的资产是否保持安全完整，资产配置是否合理，资产使用和资产处理是否规范，用以反映和考核部门（单位）资产管理的整体水平。</w:t>
            </w:r>
          </w:p>
        </w:tc>
        <w:tc>
          <w:tcPr>
            <w:tcW w:w="1008"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rsidR="00B61D3D">
        <w:trPr>
          <w:cantSplit/>
          <w:trHeight w:val="1210"/>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绩效管理（4）</w:t>
            </w:r>
          </w:p>
        </w:tc>
        <w:tc>
          <w:tcPr>
            <w:tcW w:w="731"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绩效管理情况</w:t>
            </w:r>
          </w:p>
        </w:tc>
        <w:tc>
          <w:tcPr>
            <w:tcW w:w="363" w:type="pct"/>
            <w:gridSpan w:val="2"/>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绩效信息是否汇总，并加以运用</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能够按照预算绩效目标开展各项工作，绩效信息比较丰富，但分析整理工作欠缺</w:t>
            </w:r>
          </w:p>
        </w:tc>
        <w:tc>
          <w:tcPr>
            <w:tcW w:w="255"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7" w:type="pct"/>
            <w:tcBorders>
              <w:top w:val="single" w:sz="4" w:space="0" w:color="auto"/>
              <w:left w:val="nil"/>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b/>
                <w:bCs/>
                <w:color w:val="000000"/>
                <w:kern w:val="0"/>
                <w:sz w:val="18"/>
                <w:szCs w:val="18"/>
              </w:rPr>
              <w:t>绩效管理情况:</w:t>
            </w:r>
            <w:r>
              <w:rPr>
                <w:rFonts w:ascii="宋体" w:hAnsi="宋体" w:cs="宋体" w:hint="eastAsia"/>
                <w:color w:val="000000"/>
                <w:kern w:val="0"/>
                <w:sz w:val="18"/>
                <w:szCs w:val="18"/>
              </w:rPr>
              <w:t>考核部门（单位）在绩效管理信息的汇总和应用情况。</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①部门（单位）是否及时对绩效信息进行汇总分析整理；②部门（单位）是否对绩效目标偏离情况及时进行矫正。每有一项不合格扣2分。</w:t>
            </w:r>
          </w:p>
        </w:tc>
      </w:tr>
      <w:tr w:rsidR="00B61D3D">
        <w:trPr>
          <w:cantSplit/>
          <w:trHeight w:val="394"/>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指标　</w:t>
            </w:r>
          </w:p>
        </w:tc>
        <w:tc>
          <w:tcPr>
            <w:tcW w:w="1095" w:type="pct"/>
            <w:gridSpan w:val="3"/>
            <w:tcBorders>
              <w:top w:val="single" w:sz="4" w:space="0" w:color="auto"/>
              <w:left w:val="nil"/>
              <w:bottom w:val="single" w:sz="4" w:space="0" w:color="auto"/>
              <w:right w:val="single" w:sz="4" w:space="0" w:color="000000"/>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2021年</w:t>
            </w:r>
          </w:p>
        </w:tc>
        <w:tc>
          <w:tcPr>
            <w:tcW w:w="480"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2022年</w:t>
            </w:r>
          </w:p>
        </w:tc>
        <w:tc>
          <w:tcPr>
            <w:tcW w:w="255"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分值</w:t>
            </w:r>
          </w:p>
        </w:tc>
        <w:tc>
          <w:tcPr>
            <w:tcW w:w="277"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得分</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bCs/>
                <w:color w:val="000000"/>
                <w:kern w:val="0"/>
                <w:sz w:val="18"/>
                <w:szCs w:val="18"/>
              </w:rPr>
              <w:t>指标</w:t>
            </w:r>
            <w:r>
              <w:rPr>
                <w:rFonts w:ascii="宋体" w:hAnsi="宋体" w:cs="宋体"/>
                <w:bCs/>
                <w:color w:val="000000"/>
                <w:kern w:val="0"/>
                <w:sz w:val="18"/>
                <w:szCs w:val="18"/>
              </w:rPr>
              <w:t>解释</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center"/>
              <w:rPr>
                <w:rFonts w:eastAsia="Times New Roman"/>
                <w:kern w:val="0"/>
                <w:sz w:val="20"/>
                <w:szCs w:val="20"/>
              </w:rPr>
            </w:pPr>
            <w:r>
              <w:rPr>
                <w:rFonts w:ascii="宋体" w:hAnsi="宋体" w:cs="宋体" w:hint="eastAsia"/>
                <w:color w:val="000000"/>
                <w:kern w:val="0"/>
                <w:sz w:val="18"/>
                <w:szCs w:val="18"/>
              </w:rPr>
              <w:t>评</w:t>
            </w:r>
            <w:r>
              <w:rPr>
                <w:rFonts w:ascii="宋体" w:hAnsi="宋体" w:cs="宋体"/>
                <w:color w:val="000000"/>
                <w:kern w:val="0"/>
                <w:sz w:val="18"/>
                <w:szCs w:val="18"/>
              </w:rPr>
              <w:t>分标准</w:t>
            </w:r>
          </w:p>
        </w:tc>
      </w:tr>
      <w:tr w:rsidR="00B61D3D">
        <w:trPr>
          <w:cantSplit/>
          <w:trHeight w:val="2229"/>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nil"/>
              <w:left w:val="nil"/>
              <w:bottom w:val="single" w:sz="4" w:space="0" w:color="auto"/>
              <w:right w:val="single" w:sz="4" w:space="0" w:color="auto"/>
            </w:tcBorders>
            <w:vAlign w:val="center"/>
          </w:tcPr>
          <w:p w:rsidR="00B61D3D" w:rsidRDefault="00AC3343">
            <w:pPr>
              <w:widowControl/>
              <w:rPr>
                <w:rFonts w:ascii="宋体" w:hAnsi="宋体" w:cs="宋体"/>
                <w:color w:val="000000"/>
                <w:kern w:val="0"/>
                <w:sz w:val="20"/>
                <w:szCs w:val="20"/>
              </w:rPr>
            </w:pPr>
            <w:r>
              <w:rPr>
                <w:rFonts w:ascii="宋体" w:hAnsi="宋体" w:cs="宋体" w:hint="eastAsia"/>
                <w:color w:val="000000"/>
                <w:kern w:val="0"/>
                <w:sz w:val="20"/>
                <w:szCs w:val="20"/>
              </w:rPr>
              <w:t>结转结余率（4）</w:t>
            </w:r>
          </w:p>
        </w:tc>
        <w:tc>
          <w:tcPr>
            <w:tcW w:w="1095" w:type="pct"/>
            <w:gridSpan w:val="3"/>
            <w:tcBorders>
              <w:top w:val="single" w:sz="4" w:space="0" w:color="auto"/>
              <w:left w:val="nil"/>
              <w:bottom w:val="single" w:sz="4" w:space="0" w:color="auto"/>
              <w:right w:val="single" w:sz="4" w:space="0" w:color="000000"/>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3.8%　</w:t>
            </w:r>
          </w:p>
        </w:tc>
        <w:tc>
          <w:tcPr>
            <w:tcW w:w="480" w:type="pct"/>
            <w:tcBorders>
              <w:top w:val="nil"/>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5.92%</w:t>
            </w:r>
          </w:p>
        </w:tc>
        <w:tc>
          <w:tcPr>
            <w:tcW w:w="255" w:type="pct"/>
            <w:tcBorders>
              <w:top w:val="nil"/>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7" w:type="pct"/>
            <w:tcBorders>
              <w:top w:val="nil"/>
              <w:left w:val="nil"/>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3.2　</w:t>
            </w:r>
          </w:p>
        </w:tc>
        <w:tc>
          <w:tcPr>
            <w:tcW w:w="1212" w:type="pct"/>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结转结余率=结转结余总额/支出预算数×100%。</w:t>
            </w:r>
            <w:r>
              <w:rPr>
                <w:rFonts w:ascii="宋体" w:hAnsi="宋体" w:cs="宋体" w:hint="eastAsia"/>
                <w:color w:val="000000"/>
                <w:kern w:val="0"/>
                <w:sz w:val="18"/>
                <w:szCs w:val="18"/>
              </w:rPr>
              <w:br/>
              <w:t>结转结余总额：部门（单位）本年度的结转资金与结余资金之和。</w:t>
            </w:r>
          </w:p>
        </w:tc>
        <w:tc>
          <w:tcPr>
            <w:tcW w:w="1008" w:type="pct"/>
            <w:tcBorders>
              <w:top w:val="single" w:sz="4" w:space="0" w:color="auto"/>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rsidR="00B61D3D">
        <w:trPr>
          <w:cantSplit/>
          <w:trHeight w:val="981"/>
        </w:trPr>
        <w:tc>
          <w:tcPr>
            <w:tcW w:w="420" w:type="pct"/>
            <w:vMerge/>
            <w:tcBorders>
              <w:top w:val="nil"/>
              <w:left w:val="single" w:sz="4" w:space="0" w:color="auto"/>
              <w:bottom w:val="single" w:sz="4" w:space="0" w:color="000000"/>
              <w:right w:val="single" w:sz="4" w:space="0" w:color="auto"/>
            </w:tcBorders>
            <w:vAlign w:val="center"/>
          </w:tcPr>
          <w:p w:rsidR="00B61D3D" w:rsidRDefault="00B61D3D">
            <w:pPr>
              <w:widowControl/>
              <w:jc w:val="left"/>
              <w:rPr>
                <w:rFonts w:ascii="宋体" w:hAnsi="宋体" w:cs="宋体"/>
                <w:color w:val="000000"/>
                <w:kern w:val="0"/>
                <w:sz w:val="20"/>
                <w:szCs w:val="20"/>
              </w:rPr>
            </w:pPr>
          </w:p>
        </w:tc>
        <w:tc>
          <w:tcPr>
            <w:tcW w:w="248" w:type="pct"/>
            <w:tcBorders>
              <w:top w:val="nil"/>
              <w:left w:val="nil"/>
              <w:bottom w:val="single" w:sz="4" w:space="0" w:color="auto"/>
              <w:right w:val="single" w:sz="4" w:space="0" w:color="auto"/>
            </w:tcBorders>
            <w:vAlign w:val="center"/>
          </w:tcPr>
          <w:p w:rsidR="00B61D3D" w:rsidRDefault="00AC3343">
            <w:pPr>
              <w:widowControl/>
              <w:rPr>
                <w:rFonts w:ascii="宋体" w:hAnsi="宋体" w:cs="宋体"/>
                <w:color w:val="000000"/>
                <w:kern w:val="0"/>
                <w:sz w:val="20"/>
                <w:szCs w:val="20"/>
              </w:rPr>
            </w:pPr>
            <w:r>
              <w:rPr>
                <w:rFonts w:ascii="宋体" w:hAnsi="宋体" w:cs="宋体" w:hint="eastAsia"/>
                <w:color w:val="000000"/>
                <w:kern w:val="0"/>
                <w:sz w:val="20"/>
                <w:szCs w:val="20"/>
              </w:rPr>
              <w:t>部门预决算差异率（4）</w:t>
            </w:r>
          </w:p>
        </w:tc>
        <w:tc>
          <w:tcPr>
            <w:tcW w:w="1095" w:type="pct"/>
            <w:gridSpan w:val="3"/>
            <w:tcBorders>
              <w:top w:val="single" w:sz="4" w:space="0" w:color="auto"/>
              <w:left w:val="nil"/>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480" w:type="pct"/>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6.30%</w:t>
            </w:r>
          </w:p>
        </w:tc>
        <w:tc>
          <w:tcPr>
            <w:tcW w:w="255" w:type="pct"/>
            <w:tcBorders>
              <w:top w:val="nil"/>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7" w:type="pct"/>
            <w:tcBorders>
              <w:top w:val="nil"/>
              <w:left w:val="nil"/>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4　</w:t>
            </w:r>
          </w:p>
        </w:tc>
        <w:tc>
          <w:tcPr>
            <w:tcW w:w="1212" w:type="pct"/>
            <w:tcBorders>
              <w:top w:val="nil"/>
              <w:left w:val="single" w:sz="4" w:space="0" w:color="auto"/>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通过年度部门决算与年初部门预算对比，对部门的年度支出情况进行考核，衡量部门预算的约束力。</w:t>
            </w:r>
          </w:p>
        </w:tc>
        <w:tc>
          <w:tcPr>
            <w:tcW w:w="1008" w:type="pct"/>
            <w:tcBorders>
              <w:top w:val="nil"/>
              <w:left w:val="nil"/>
              <w:bottom w:val="single" w:sz="4" w:space="0" w:color="auto"/>
              <w:right w:val="single" w:sz="4" w:space="0" w:color="auto"/>
            </w:tcBorders>
            <w:vAlign w:val="center"/>
          </w:tcPr>
          <w:p w:rsidR="00B61D3D" w:rsidRDefault="00AC3343">
            <w:pPr>
              <w:widowControl/>
              <w:jc w:val="left"/>
              <w:rPr>
                <w:rFonts w:ascii="宋体" w:hAnsi="宋体" w:cs="宋体"/>
                <w:color w:val="000000"/>
                <w:kern w:val="0"/>
                <w:sz w:val="18"/>
                <w:szCs w:val="18"/>
              </w:rPr>
            </w:pPr>
            <w:r>
              <w:rPr>
                <w:rFonts w:ascii="宋体" w:hAnsi="宋体" w:cs="宋体" w:hint="eastAsia"/>
                <w:color w:val="000000"/>
                <w:kern w:val="0"/>
                <w:sz w:val="18"/>
                <w:szCs w:val="18"/>
              </w:rPr>
              <w:t>部门预决算差异率高于市级平均差异率（28.3%）的，每高出10%（含），扣0.4分，扣完为止。</w:t>
            </w:r>
          </w:p>
        </w:tc>
      </w:tr>
      <w:tr w:rsidR="00B61D3D">
        <w:trPr>
          <w:cantSplit/>
          <w:trHeight w:val="484"/>
        </w:trPr>
        <w:tc>
          <w:tcPr>
            <w:tcW w:w="2245" w:type="pct"/>
            <w:gridSpan w:val="6"/>
            <w:tcBorders>
              <w:top w:val="single" w:sz="4" w:space="0" w:color="auto"/>
              <w:left w:val="single" w:sz="4" w:space="0" w:color="auto"/>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255" w:type="pct"/>
            <w:tcBorders>
              <w:top w:val="nil"/>
              <w:left w:val="nil"/>
              <w:bottom w:val="single" w:sz="4" w:space="0" w:color="auto"/>
              <w:right w:val="single" w:sz="4" w:space="0" w:color="auto"/>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77" w:type="pct"/>
            <w:tcBorders>
              <w:top w:val="nil"/>
              <w:left w:val="nil"/>
              <w:bottom w:val="single" w:sz="4" w:space="0" w:color="auto"/>
              <w:right w:val="nil"/>
            </w:tcBorders>
            <w:vAlign w:val="center"/>
          </w:tcPr>
          <w:p w:rsidR="00B61D3D" w:rsidRDefault="00AC3343">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93.02　</w:t>
            </w:r>
          </w:p>
        </w:tc>
        <w:tc>
          <w:tcPr>
            <w:tcW w:w="2220" w:type="pct"/>
            <w:gridSpan w:val="2"/>
            <w:tcBorders>
              <w:top w:val="single" w:sz="4" w:space="0" w:color="auto"/>
              <w:left w:val="single" w:sz="4" w:space="0" w:color="auto"/>
              <w:bottom w:val="single" w:sz="4" w:space="0" w:color="auto"/>
              <w:right w:val="single" w:sz="4" w:space="0" w:color="000000"/>
            </w:tcBorders>
            <w:vAlign w:val="center"/>
          </w:tcPr>
          <w:p w:rsidR="00B61D3D" w:rsidRDefault="00AC334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B61D3D" w:rsidRDefault="00B61D3D">
      <w:pPr>
        <w:spacing w:line="20" w:lineRule="exact"/>
        <w:rPr>
          <w:rFonts w:ascii="方正小标宋简体" w:eastAsia="方正小标宋简体"/>
          <w:sz w:val="36"/>
          <w:szCs w:val="36"/>
        </w:rPr>
      </w:pPr>
    </w:p>
    <w:sectPr w:rsidR="00B61D3D">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C4F" w:rsidRDefault="00BD0C4F">
      <w:r>
        <w:separator/>
      </w:r>
    </w:p>
  </w:endnote>
  <w:endnote w:type="continuationSeparator" w:id="0">
    <w:p w:rsidR="00BD0C4F" w:rsidRDefault="00BD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小标宋简体">
    <w:altName w:val="方正舒体"/>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3D" w:rsidRDefault="00AC3343">
    <w:pPr>
      <w:pStyle w:val="a4"/>
      <w:ind w:firstLine="360"/>
      <w:jc w:val="center"/>
      <w:rPr>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1D3D" w:rsidRDefault="00AC3343">
                          <w:pPr>
                            <w:pStyle w:val="a4"/>
                          </w:pPr>
                          <w:r>
                            <w:fldChar w:fldCharType="begin"/>
                          </w:r>
                          <w:r>
                            <w:instrText xml:space="preserve"> PAGE  \* MERGEFORMAT </w:instrText>
                          </w:r>
                          <w:r>
                            <w:fldChar w:fldCharType="separate"/>
                          </w:r>
                          <w:r w:rsidR="00D96CE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61D3D" w:rsidRDefault="00AC3343">
                    <w:pPr>
                      <w:pStyle w:val="a4"/>
                    </w:pPr>
                    <w:r>
                      <w:fldChar w:fldCharType="begin"/>
                    </w:r>
                    <w:r>
                      <w:instrText xml:space="preserve"> PAGE  \* MERGEFORMAT </w:instrText>
                    </w:r>
                    <w:r>
                      <w:fldChar w:fldCharType="separate"/>
                    </w:r>
                    <w:r w:rsidR="00D96CEF">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3D" w:rsidRDefault="00AC3343">
    <w:pPr>
      <w:pStyle w:val="a4"/>
      <w:jc w:val="right"/>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1D3D" w:rsidRDefault="00AC3343">
                          <w:pPr>
                            <w:pStyle w:val="a4"/>
                          </w:pPr>
                          <w:r>
                            <w:fldChar w:fldCharType="begin"/>
                          </w:r>
                          <w:r>
                            <w:instrText xml:space="preserve"> PAGE  \* MERGEFORMAT </w:instrText>
                          </w:r>
                          <w:r>
                            <w:fldChar w:fldCharType="separate"/>
                          </w:r>
                          <w:r w:rsidR="00D96CEF">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61D3D" w:rsidRDefault="00AC3343">
                    <w:pPr>
                      <w:pStyle w:val="a4"/>
                    </w:pPr>
                    <w:r>
                      <w:fldChar w:fldCharType="begin"/>
                    </w:r>
                    <w:r>
                      <w:instrText xml:space="preserve"> PAGE  \* MERGEFORMAT </w:instrText>
                    </w:r>
                    <w:r>
                      <w:fldChar w:fldCharType="separate"/>
                    </w:r>
                    <w:r w:rsidR="00D96CEF">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C4F" w:rsidRDefault="00BD0C4F">
      <w:r>
        <w:separator/>
      </w:r>
    </w:p>
  </w:footnote>
  <w:footnote w:type="continuationSeparator" w:id="0">
    <w:p w:rsidR="00BD0C4F" w:rsidRDefault="00BD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BF8BAF"/>
    <w:multiLevelType w:val="singleLevel"/>
    <w:tmpl w:val="B4BF8BAF"/>
    <w:lvl w:ilvl="0">
      <w:start w:val="2"/>
      <w:numFmt w:val="decimal"/>
      <w:lvlText w:val="%1."/>
      <w:lvlJc w:val="left"/>
      <w:pPr>
        <w:tabs>
          <w:tab w:val="left" w:pos="312"/>
        </w:tabs>
      </w:pPr>
    </w:lvl>
  </w:abstractNum>
  <w:abstractNum w:abstractNumId="1" w15:restartNumberingAfterBreak="0">
    <w:nsid w:val="EE3BC028"/>
    <w:multiLevelType w:val="singleLevel"/>
    <w:tmpl w:val="EE3BC028"/>
    <w:lvl w:ilvl="0">
      <w:start w:val="2"/>
      <w:numFmt w:val="chineseCounting"/>
      <w:suff w:val="nothing"/>
      <w:lvlText w:val="（%1）"/>
      <w:lvlJc w:val="left"/>
      <w:rPr>
        <w:rFonts w:hint="eastAsia"/>
      </w:rPr>
    </w:lvl>
  </w:abstractNum>
  <w:abstractNum w:abstractNumId="2" w15:restartNumberingAfterBreak="0">
    <w:nsid w:val="1C877635"/>
    <w:multiLevelType w:val="singleLevel"/>
    <w:tmpl w:val="1C877635"/>
    <w:lvl w:ilvl="0">
      <w:start w:val="2"/>
      <w:numFmt w:val="decimal"/>
      <w:lvlText w:val="%1."/>
      <w:lvlJc w:val="left"/>
      <w:pPr>
        <w:tabs>
          <w:tab w:val="left" w:pos="312"/>
        </w:tabs>
      </w:pPr>
    </w:lvl>
  </w:abstractNum>
  <w:abstractNum w:abstractNumId="3" w15:restartNumberingAfterBreak="0">
    <w:nsid w:val="737DE055"/>
    <w:multiLevelType w:val="singleLevel"/>
    <w:tmpl w:val="737DE055"/>
    <w:lvl w:ilvl="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YzQ3YTk2OWE3NmU4ZTNmNTQwMjRlMTFlNDIzMzIifQ=="/>
  </w:docVars>
  <w:rsids>
    <w:rsidRoot w:val="F77F09F4"/>
    <w:rsid w:val="A3AA735E"/>
    <w:rsid w:val="A75D4892"/>
    <w:rsid w:val="AFFFCE02"/>
    <w:rsid w:val="CEFD3F3D"/>
    <w:rsid w:val="D6B22E60"/>
    <w:rsid w:val="EA3F77F2"/>
    <w:rsid w:val="EEFE5989"/>
    <w:rsid w:val="EFCF3EAE"/>
    <w:rsid w:val="F4FDEB06"/>
    <w:rsid w:val="F5B764A2"/>
    <w:rsid w:val="F77F09F4"/>
    <w:rsid w:val="FBFF6E65"/>
    <w:rsid w:val="FEEF6AA0"/>
    <w:rsid w:val="FFB792B8"/>
    <w:rsid w:val="FFD7BFFC"/>
    <w:rsid w:val="FFFA6B0F"/>
    <w:rsid w:val="FFFFB6E6"/>
    <w:rsid w:val="00035406"/>
    <w:rsid w:val="00454B28"/>
    <w:rsid w:val="004C6974"/>
    <w:rsid w:val="006C75C5"/>
    <w:rsid w:val="00762150"/>
    <w:rsid w:val="009D573E"/>
    <w:rsid w:val="00A455D7"/>
    <w:rsid w:val="00AC3343"/>
    <w:rsid w:val="00AD2672"/>
    <w:rsid w:val="00B13FE5"/>
    <w:rsid w:val="00B61D3D"/>
    <w:rsid w:val="00B67764"/>
    <w:rsid w:val="00BD0C4F"/>
    <w:rsid w:val="00C74A3B"/>
    <w:rsid w:val="00D96CEF"/>
    <w:rsid w:val="00E33C62"/>
    <w:rsid w:val="045B3BFF"/>
    <w:rsid w:val="054411C3"/>
    <w:rsid w:val="0C7E7DDA"/>
    <w:rsid w:val="11DC5CF6"/>
    <w:rsid w:val="175F53D8"/>
    <w:rsid w:val="17ED6E2E"/>
    <w:rsid w:val="1FB97752"/>
    <w:rsid w:val="2F8329DA"/>
    <w:rsid w:val="37173543"/>
    <w:rsid w:val="39571375"/>
    <w:rsid w:val="3BAF6B93"/>
    <w:rsid w:val="3FDBA076"/>
    <w:rsid w:val="3FDFB3F0"/>
    <w:rsid w:val="3FDFC9A6"/>
    <w:rsid w:val="3FF76880"/>
    <w:rsid w:val="45467FCC"/>
    <w:rsid w:val="4E881E17"/>
    <w:rsid w:val="50881C7A"/>
    <w:rsid w:val="5BFD4AC2"/>
    <w:rsid w:val="672479B5"/>
    <w:rsid w:val="67759716"/>
    <w:rsid w:val="69146910"/>
    <w:rsid w:val="6A8F4117"/>
    <w:rsid w:val="6F7ED27B"/>
    <w:rsid w:val="75B17A7C"/>
    <w:rsid w:val="761D36ED"/>
    <w:rsid w:val="76226650"/>
    <w:rsid w:val="79954DEC"/>
    <w:rsid w:val="7AB7FF50"/>
    <w:rsid w:val="7AEAF641"/>
    <w:rsid w:val="7BAD2729"/>
    <w:rsid w:val="7BFEB0DB"/>
    <w:rsid w:val="7CA5434F"/>
    <w:rsid w:val="7FFF4E81"/>
    <w:rsid w:val="7FFFD0D3"/>
    <w:rsid w:val="87166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235FD"/>
  <w15:docId w15:val="{7D7E5116-EC7F-4176-BD42-11EBFA7F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spacing w:line="600" w:lineRule="exact"/>
      <w:ind w:firstLine="640"/>
      <w:outlineLvl w:val="0"/>
    </w:pPr>
    <w:rPr>
      <w:rFonts w:ascii="黑体" w:eastAsia="黑体" w:hAnsi="黑体" w:cs="宋体"/>
      <w:color w:val="000000"/>
      <w:kern w:val="0"/>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700" w:rightChars="700" w:right="700"/>
    </w:pPr>
  </w:style>
  <w:style w:type="paragraph" w:styleId="a4">
    <w:name w:val="footer"/>
    <w:basedOn w:val="a"/>
    <w:uiPriority w:val="99"/>
    <w:qFormat/>
    <w:pPr>
      <w:tabs>
        <w:tab w:val="center" w:pos="4153"/>
        <w:tab w:val="right" w:pos="8306"/>
      </w:tabs>
      <w:snapToGrid w:val="0"/>
      <w:jc w:val="left"/>
    </w:pPr>
    <w:rPr>
      <w:sz w:val="18"/>
      <w:szCs w:val="20"/>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0">
    <w:name w:val="列出段落1"/>
    <w:basedOn w:val="a"/>
    <w:uiPriority w:val="34"/>
    <w:qFormat/>
    <w:pPr>
      <w:ind w:firstLineChars="200" w:firstLine="420"/>
    </w:pPr>
    <w:rPr>
      <w:rFonts w:ascii="Calibri" w:hAnsi="Calibri"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2023-03-06T01:31:00Z</cp:lastPrinted>
  <dcterms:created xsi:type="dcterms:W3CDTF">2022-03-14T19:16:00Z</dcterms:created>
  <dcterms:modified xsi:type="dcterms:W3CDTF">2023-08-17T02:28:00Z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99E57E1CD05549C79BE98D8F2464D457_13</vt:lpwstr>
  </property>
</Properties>
</file>