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F3E0B" w14:textId="77777777" w:rsidR="0084361C" w:rsidRDefault="00E17F86">
      <w:pPr>
        <w:spacing w:line="560" w:lineRule="exact"/>
        <w:jc w:val="left"/>
        <w:rPr>
          <w:rFonts w:ascii="方正小标宋简体" w:eastAsia="方正小标宋简体"/>
          <w:sz w:val="36"/>
          <w:szCs w:val="36"/>
        </w:rPr>
      </w:pPr>
      <w:r>
        <w:rPr>
          <w:rFonts w:ascii="方正黑体_GBK" w:eastAsia="方正黑体_GBK" w:hAnsi="方正黑体_GBK" w:cs="方正黑体_GBK" w:hint="eastAsia"/>
          <w:sz w:val="32"/>
        </w:rPr>
        <w:t>附件4</w:t>
      </w:r>
    </w:p>
    <w:p w14:paraId="34DC1A97" w14:textId="7F4759B9" w:rsidR="0084361C" w:rsidRDefault="00E17F86">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中国</w:t>
      </w:r>
      <w:r w:rsidR="008F6B95">
        <w:rPr>
          <w:rFonts w:ascii="方正小标宋简体" w:eastAsia="方正小标宋简体" w:hint="eastAsia"/>
          <w:sz w:val="36"/>
          <w:szCs w:val="36"/>
        </w:rPr>
        <w:t>农工民主党</w:t>
      </w:r>
      <w:r>
        <w:rPr>
          <w:rFonts w:ascii="方正小标宋简体" w:eastAsia="方正小标宋简体" w:hint="eastAsia"/>
          <w:sz w:val="36"/>
          <w:szCs w:val="36"/>
        </w:rPr>
        <w:t>北京市委员会</w:t>
      </w:r>
    </w:p>
    <w:p w14:paraId="7AF4F096" w14:textId="77777777" w:rsidR="0084361C" w:rsidRDefault="00E17F86">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部门整体绩效评价报告</w:t>
      </w:r>
    </w:p>
    <w:p w14:paraId="21BEB39D" w14:textId="77777777" w:rsidR="0084361C" w:rsidRDefault="0084361C">
      <w:pPr>
        <w:jc w:val="center"/>
        <w:rPr>
          <w:rFonts w:ascii="仿宋_GB2312"/>
          <w:szCs w:val="30"/>
        </w:rPr>
      </w:pPr>
    </w:p>
    <w:p w14:paraId="2BFD5119" w14:textId="77777777" w:rsidR="0084361C" w:rsidRDefault="00E17F86">
      <w:pPr>
        <w:spacing w:line="60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一、部门概况</w:t>
      </w:r>
    </w:p>
    <w:p w14:paraId="301CF55D" w14:textId="77777777" w:rsidR="0084361C" w:rsidRDefault="00E17F86">
      <w:pPr>
        <w:spacing w:line="600" w:lineRule="exact"/>
        <w:ind w:firstLineChars="200" w:firstLine="640"/>
        <w:rPr>
          <w:rFonts w:ascii="楷体_GB2312" w:eastAsia="楷体_GB2312"/>
          <w:sz w:val="32"/>
          <w:szCs w:val="32"/>
        </w:rPr>
      </w:pPr>
      <w:r>
        <w:rPr>
          <w:rFonts w:ascii="楷体_GB2312" w:eastAsia="楷体_GB2312" w:hint="eastAsia"/>
          <w:sz w:val="32"/>
          <w:szCs w:val="32"/>
        </w:rPr>
        <w:t>（一）机构设置及职责工作任务情况</w:t>
      </w:r>
    </w:p>
    <w:p w14:paraId="7C9BF709" w14:textId="77777777" w:rsidR="00192FE2" w:rsidRPr="00192FE2" w:rsidRDefault="00192FE2" w:rsidP="00192FE2">
      <w:pPr>
        <w:spacing w:line="600" w:lineRule="exact"/>
        <w:ind w:firstLineChars="200" w:firstLine="640"/>
        <w:rPr>
          <w:rFonts w:ascii="仿宋" w:eastAsia="仿宋" w:hAnsi="仿宋"/>
          <w:color w:val="404040"/>
          <w:sz w:val="32"/>
          <w:szCs w:val="32"/>
          <w:shd w:val="clear" w:color="auto" w:fill="FFFFFF"/>
        </w:rPr>
      </w:pPr>
      <w:r w:rsidRPr="00192FE2">
        <w:rPr>
          <w:rFonts w:ascii="仿宋" w:eastAsia="仿宋" w:hAnsi="仿宋" w:hint="eastAsia"/>
          <w:color w:val="404040"/>
          <w:sz w:val="32"/>
          <w:szCs w:val="32"/>
          <w:shd w:val="clear" w:color="auto" w:fill="FFFFFF"/>
        </w:rPr>
        <w:t>中国农工民主党北京市委员会机关（以下简称“农工党北京市委”）性质为行政部门，属于民主党派机关，部门职责是参政议政、民主监督、参加中国共产党领导的政治协商。</w:t>
      </w:r>
    </w:p>
    <w:p w14:paraId="5E480555" w14:textId="7516E021" w:rsidR="0084361C" w:rsidRPr="00F23539" w:rsidRDefault="00192FE2" w:rsidP="00F23539">
      <w:pPr>
        <w:spacing w:line="600" w:lineRule="exact"/>
        <w:ind w:firstLineChars="200" w:firstLine="640"/>
        <w:rPr>
          <w:rFonts w:ascii="仿宋" w:eastAsia="仿宋" w:hAnsi="仿宋"/>
          <w:color w:val="404040"/>
          <w:sz w:val="32"/>
          <w:szCs w:val="32"/>
          <w:shd w:val="clear" w:color="auto" w:fill="FFFFFF"/>
        </w:rPr>
      </w:pPr>
      <w:r w:rsidRPr="00192FE2">
        <w:rPr>
          <w:rFonts w:ascii="仿宋" w:eastAsia="仿宋" w:hAnsi="仿宋" w:hint="eastAsia"/>
          <w:color w:val="404040"/>
          <w:sz w:val="32"/>
          <w:szCs w:val="32"/>
          <w:shd w:val="clear" w:color="auto" w:fill="FFFFFF"/>
        </w:rPr>
        <w:t>农工党北京市委下设办公室、参政议政处、宣传处、组织处、社会服务处</w:t>
      </w:r>
      <w:r w:rsidRPr="00192FE2">
        <w:rPr>
          <w:rFonts w:ascii="仿宋" w:eastAsia="仿宋" w:hAnsi="仿宋"/>
          <w:color w:val="404040"/>
          <w:sz w:val="32"/>
          <w:szCs w:val="32"/>
          <w:shd w:val="clear" w:color="auto" w:fill="FFFFFF"/>
        </w:rPr>
        <w:t>5个处（室）。办公室是市委机关综合性职能部门，主要负责做好行政事务性工作，包括文秘、人事、财务、行政管理等工作。参政议政处负责市委参政议政各项工作任务的落实，组织对国家、地方各种方针政策提出建议，组织调研工作，组织市委在市人大、市政协的参政议政工作，负责市委信息工作的组织上报工作。宣传处负责做好市委各级组织和党员的思想建设工作，组织开展理论研究课题工作，负责新闻宣传和对外宣传工作。组织处负责市委组织建设工作的职能部门，承担全市的组织发展、党员的</w:t>
      </w:r>
      <w:r w:rsidRPr="00192FE2">
        <w:rPr>
          <w:rFonts w:ascii="仿宋" w:eastAsia="仿宋" w:hAnsi="仿宋" w:hint="eastAsia"/>
          <w:color w:val="404040"/>
          <w:sz w:val="32"/>
          <w:szCs w:val="32"/>
          <w:shd w:val="clear" w:color="auto" w:fill="FFFFFF"/>
        </w:rPr>
        <w:t>党籍管理、市委各级组织的建设以及后备干部队伍建设等有关工作，落实市委监督委员会的工作。社会服务处是市委履行参政党职能的社会实践工作部门，主要负责落实上级部门有关社会服务工作的要求，指导组织各级组织的社会服务工作，落实社团</w:t>
      </w:r>
      <w:r w:rsidRPr="00192FE2">
        <w:rPr>
          <w:rFonts w:ascii="仿宋" w:eastAsia="仿宋" w:hAnsi="仿宋" w:hint="eastAsia"/>
          <w:color w:val="404040"/>
          <w:sz w:val="32"/>
          <w:szCs w:val="32"/>
          <w:shd w:val="clear" w:color="auto" w:fill="FFFFFF"/>
        </w:rPr>
        <w:lastRenderedPageBreak/>
        <w:t>各项工作和对外联络工作。</w:t>
      </w:r>
    </w:p>
    <w:p w14:paraId="0C017C67" w14:textId="2BE53E6F" w:rsidR="0084361C" w:rsidRDefault="00E17F86" w:rsidP="000F765B">
      <w:pPr>
        <w:spacing w:line="600" w:lineRule="exact"/>
        <w:ind w:firstLineChars="200" w:firstLine="640"/>
        <w:rPr>
          <w:rFonts w:ascii="楷体_GB2312" w:eastAsia="楷体_GB2312"/>
          <w:sz w:val="32"/>
          <w:szCs w:val="32"/>
        </w:rPr>
      </w:pPr>
      <w:r>
        <w:rPr>
          <w:rFonts w:ascii="楷体_GB2312" w:eastAsia="楷体_GB2312" w:hint="eastAsia"/>
          <w:sz w:val="32"/>
          <w:szCs w:val="32"/>
        </w:rPr>
        <w:t>（二）部门整体绩效目标设立情况。</w:t>
      </w:r>
    </w:p>
    <w:p w14:paraId="3D9B9ECF" w14:textId="7A6BAD08" w:rsidR="00E02444" w:rsidRPr="000F765B" w:rsidRDefault="007E505D" w:rsidP="000F765B">
      <w:pPr>
        <w:spacing w:line="600" w:lineRule="exact"/>
        <w:ind w:firstLineChars="200" w:firstLine="640"/>
        <w:rPr>
          <w:rFonts w:ascii="仿宋" w:eastAsia="仿宋" w:hAnsi="仿宋"/>
          <w:color w:val="404040"/>
          <w:sz w:val="32"/>
          <w:szCs w:val="32"/>
          <w:shd w:val="clear" w:color="auto" w:fill="FFFFFF"/>
        </w:rPr>
      </w:pPr>
      <w:r w:rsidRPr="000F765B">
        <w:rPr>
          <w:rFonts w:ascii="仿宋" w:eastAsia="仿宋" w:hAnsi="仿宋" w:hint="eastAsia"/>
          <w:color w:val="404040"/>
          <w:sz w:val="32"/>
          <w:szCs w:val="32"/>
          <w:shd w:val="clear" w:color="auto" w:fill="FFFFFF"/>
        </w:rPr>
        <w:t>2024年是中华人民共和国成立75周年，是中国共产党领导的多党合作和政治协商制度确立75周年，是实现“十四五”规划目标任务的关键一年。农工党北京市委坚持以习近平新时代中国特色社会主义思想为指导，团结引领全市各级组织和广大党员，认真学习贯彻中共二十大和二十届二中、三中全会精神，围绕新时代国家和首都事业发展大局，深入践行中国新型政党制度，凝心聚力，守正创新，团结奋进，在新时代新征程农工党三大基本任务落实中坚持走在前、作表率，各项工作迈上新台阶，为新征程上谱写中国式现代化的北京篇章</w:t>
      </w:r>
      <w:r w:rsidR="00F23539">
        <w:rPr>
          <w:rFonts w:ascii="仿宋" w:eastAsia="仿宋" w:hAnsi="仿宋" w:hint="eastAsia"/>
          <w:color w:val="404040"/>
          <w:sz w:val="32"/>
          <w:szCs w:val="32"/>
          <w:shd w:val="clear" w:color="auto" w:fill="FFFFFF"/>
        </w:rPr>
        <w:t>做</w:t>
      </w:r>
      <w:r w:rsidRPr="000F765B">
        <w:rPr>
          <w:rFonts w:ascii="仿宋" w:eastAsia="仿宋" w:hAnsi="仿宋" w:hint="eastAsia"/>
          <w:color w:val="404040"/>
          <w:sz w:val="32"/>
          <w:szCs w:val="32"/>
          <w:shd w:val="clear" w:color="auto" w:fill="FFFFFF"/>
        </w:rPr>
        <w:t>出了积极贡献。</w:t>
      </w:r>
    </w:p>
    <w:p w14:paraId="2AB3FE2B" w14:textId="6935C5AD" w:rsidR="0084361C" w:rsidRDefault="008F6B95">
      <w:pPr>
        <w:spacing w:line="60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农工党</w:t>
      </w:r>
      <w:r w:rsidR="00E17F86">
        <w:rPr>
          <w:rFonts w:ascii="仿宋" w:eastAsia="仿宋" w:hAnsi="仿宋" w:hint="eastAsia"/>
          <w:color w:val="404040"/>
          <w:sz w:val="32"/>
          <w:szCs w:val="32"/>
          <w:shd w:val="clear" w:color="auto" w:fill="FFFFFF"/>
        </w:rPr>
        <w:t>北京市委结合部门职责、202</w:t>
      </w:r>
      <w:r w:rsidR="007E505D">
        <w:rPr>
          <w:rFonts w:ascii="仿宋" w:eastAsia="仿宋" w:hAnsi="仿宋"/>
          <w:color w:val="404040"/>
          <w:sz w:val="32"/>
          <w:szCs w:val="32"/>
          <w:shd w:val="clear" w:color="auto" w:fill="FFFFFF"/>
        </w:rPr>
        <w:t>4</w:t>
      </w:r>
      <w:r w:rsidR="00E17F86">
        <w:rPr>
          <w:rFonts w:ascii="仿宋" w:eastAsia="仿宋" w:hAnsi="仿宋" w:hint="eastAsia"/>
          <w:color w:val="404040"/>
          <w:sz w:val="32"/>
          <w:szCs w:val="32"/>
          <w:shd w:val="clear" w:color="auto" w:fill="FFFFFF"/>
        </w:rPr>
        <w:t>年重点工作任务及财政资金分配使用计划，研究制定了年度绩效目标：</w:t>
      </w:r>
      <w:r w:rsidR="004E5BBE" w:rsidRPr="004E5BBE">
        <w:rPr>
          <w:rFonts w:ascii="仿宋" w:eastAsia="仿宋" w:hAnsi="仿宋" w:hint="eastAsia"/>
          <w:color w:val="404040"/>
          <w:sz w:val="32"/>
          <w:szCs w:val="32"/>
          <w:shd w:val="clear" w:color="auto" w:fill="FFFFFF"/>
        </w:rPr>
        <w:t>深入学习贯彻中共二十大、农工党中央十七大、中共北京市第十三次代表大会精神，深刻领悟“两个确立”的决定性意义，增强“四个意识”、坚定“四个自信”、做到“两个维护”，不忘初心、牢记使命，始终做中国共产党的好参谋、好帮手、好同事，切实肩负起中国特色社会主义参政党的使命担当</w:t>
      </w:r>
      <w:r w:rsidR="00E17F86">
        <w:rPr>
          <w:rFonts w:ascii="仿宋" w:eastAsia="仿宋" w:hAnsi="仿宋" w:hint="eastAsia"/>
          <w:color w:val="404040"/>
          <w:sz w:val="32"/>
          <w:szCs w:val="32"/>
          <w:shd w:val="clear" w:color="auto" w:fill="FFFFFF"/>
        </w:rPr>
        <w:t>。</w:t>
      </w:r>
    </w:p>
    <w:p w14:paraId="562A7A28" w14:textId="77777777" w:rsidR="0084361C" w:rsidRDefault="00E17F86">
      <w:pPr>
        <w:spacing w:line="60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Pr>
          <w:rFonts w:ascii="黑体" w:eastAsia="黑体" w:hAnsi="黑体" w:cs="宋体"/>
          <w:color w:val="000000"/>
          <w:kern w:val="0"/>
          <w:sz w:val="32"/>
          <w:szCs w:val="32"/>
        </w:rPr>
        <w:t>、</w:t>
      </w:r>
      <w:r>
        <w:rPr>
          <w:rFonts w:ascii="黑体" w:eastAsia="黑体" w:hAnsi="黑体" w:cs="宋体" w:hint="eastAsia"/>
          <w:color w:val="000000"/>
          <w:kern w:val="0"/>
          <w:sz w:val="32"/>
          <w:szCs w:val="32"/>
        </w:rPr>
        <w:t>当年</w:t>
      </w:r>
      <w:r>
        <w:rPr>
          <w:rFonts w:ascii="黑体" w:eastAsia="黑体" w:hAnsi="黑体" w:cs="宋体"/>
          <w:color w:val="000000"/>
          <w:kern w:val="0"/>
          <w:sz w:val="32"/>
          <w:szCs w:val="32"/>
        </w:rPr>
        <w:t>预算执行情况</w:t>
      </w:r>
    </w:p>
    <w:p w14:paraId="369D35C3" w14:textId="51B6DF9A" w:rsidR="0084361C" w:rsidRPr="00DC37BB" w:rsidRDefault="00E17F86" w:rsidP="00DC37BB">
      <w:pPr>
        <w:spacing w:line="60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202</w:t>
      </w:r>
      <w:r w:rsidR="006D3D77">
        <w:rPr>
          <w:rFonts w:ascii="仿宋" w:eastAsia="仿宋" w:hAnsi="仿宋"/>
          <w:color w:val="404040"/>
          <w:sz w:val="32"/>
          <w:szCs w:val="32"/>
          <w:shd w:val="clear" w:color="auto" w:fill="FFFFFF"/>
        </w:rPr>
        <w:t>4</w:t>
      </w:r>
      <w:r>
        <w:rPr>
          <w:rFonts w:ascii="仿宋" w:eastAsia="仿宋" w:hAnsi="仿宋" w:hint="eastAsia"/>
          <w:color w:val="404040"/>
          <w:sz w:val="32"/>
          <w:szCs w:val="32"/>
          <w:shd w:val="clear" w:color="auto" w:fill="FFFFFF"/>
        </w:rPr>
        <w:t>年</w:t>
      </w:r>
      <w:r>
        <w:rPr>
          <w:rFonts w:ascii="仿宋" w:eastAsia="仿宋" w:hAnsi="仿宋"/>
          <w:color w:val="404040"/>
          <w:sz w:val="32"/>
          <w:szCs w:val="32"/>
          <w:shd w:val="clear" w:color="auto" w:fill="FFFFFF"/>
        </w:rPr>
        <w:t>全年</w:t>
      </w:r>
      <w:r>
        <w:rPr>
          <w:rFonts w:ascii="仿宋" w:eastAsia="仿宋" w:hAnsi="仿宋" w:hint="eastAsia"/>
          <w:color w:val="404040"/>
          <w:sz w:val="32"/>
          <w:szCs w:val="32"/>
          <w:shd w:val="clear" w:color="auto" w:fill="FFFFFF"/>
        </w:rPr>
        <w:t>预算数</w:t>
      </w:r>
      <w:r w:rsidR="006D3D77">
        <w:rPr>
          <w:rFonts w:ascii="仿宋" w:eastAsia="仿宋" w:hAnsi="仿宋"/>
          <w:color w:val="404040"/>
          <w:sz w:val="32"/>
          <w:szCs w:val="32"/>
          <w:shd w:val="clear" w:color="auto" w:fill="FFFFFF"/>
        </w:rPr>
        <w:t>1662.18</w:t>
      </w:r>
      <w:r>
        <w:rPr>
          <w:rFonts w:ascii="仿宋" w:eastAsia="仿宋" w:hAnsi="仿宋" w:hint="eastAsia"/>
          <w:color w:val="404040"/>
          <w:sz w:val="32"/>
          <w:szCs w:val="32"/>
          <w:shd w:val="clear" w:color="auto" w:fill="FFFFFF"/>
        </w:rPr>
        <w:t>万元，</w:t>
      </w:r>
      <w:r w:rsidR="00DC37BB">
        <w:rPr>
          <w:rFonts w:ascii="仿宋" w:eastAsia="仿宋" w:hAnsi="仿宋" w:hint="eastAsia"/>
          <w:color w:val="404040"/>
          <w:sz w:val="32"/>
          <w:szCs w:val="32"/>
          <w:shd w:val="clear" w:color="auto" w:fill="FFFFFF"/>
        </w:rPr>
        <w:t>其中</w:t>
      </w:r>
      <w:r>
        <w:rPr>
          <w:rFonts w:ascii="仿宋" w:eastAsia="仿宋" w:hAnsi="仿宋" w:hint="eastAsia"/>
          <w:color w:val="404040"/>
          <w:sz w:val="32"/>
          <w:szCs w:val="32"/>
          <w:shd w:val="clear" w:color="auto" w:fill="FFFFFF"/>
        </w:rPr>
        <w:t>基本经费1</w:t>
      </w:r>
      <w:r w:rsidR="00B07026">
        <w:rPr>
          <w:rFonts w:ascii="仿宋" w:eastAsia="仿宋" w:hAnsi="仿宋"/>
          <w:color w:val="404040"/>
          <w:sz w:val="32"/>
          <w:szCs w:val="32"/>
          <w:shd w:val="clear" w:color="auto" w:fill="FFFFFF"/>
        </w:rPr>
        <w:t>408.03</w:t>
      </w:r>
      <w:r>
        <w:rPr>
          <w:rFonts w:ascii="仿宋" w:eastAsia="仿宋" w:hAnsi="仿宋" w:hint="eastAsia"/>
          <w:color w:val="404040"/>
          <w:sz w:val="32"/>
          <w:szCs w:val="32"/>
          <w:shd w:val="clear" w:color="auto" w:fill="FFFFFF"/>
        </w:rPr>
        <w:t>万元，项目经费</w:t>
      </w:r>
      <w:r w:rsidR="006D3D77">
        <w:rPr>
          <w:rFonts w:ascii="仿宋" w:eastAsia="仿宋" w:hAnsi="仿宋"/>
          <w:color w:val="404040"/>
          <w:sz w:val="32"/>
          <w:szCs w:val="32"/>
          <w:shd w:val="clear" w:color="auto" w:fill="FFFFFF"/>
        </w:rPr>
        <w:t>25</w:t>
      </w:r>
      <w:r w:rsidR="00B07026">
        <w:rPr>
          <w:rFonts w:ascii="仿宋" w:eastAsia="仿宋" w:hAnsi="仿宋"/>
          <w:color w:val="404040"/>
          <w:sz w:val="32"/>
          <w:szCs w:val="32"/>
          <w:shd w:val="clear" w:color="auto" w:fill="FFFFFF"/>
        </w:rPr>
        <w:t>4.15</w:t>
      </w:r>
      <w:r>
        <w:rPr>
          <w:rFonts w:ascii="仿宋" w:eastAsia="仿宋" w:hAnsi="仿宋" w:hint="eastAsia"/>
          <w:color w:val="404040"/>
          <w:sz w:val="32"/>
          <w:szCs w:val="32"/>
          <w:shd w:val="clear" w:color="auto" w:fill="FFFFFF"/>
        </w:rPr>
        <w:t>万元。</w:t>
      </w:r>
      <w:r>
        <w:rPr>
          <w:rFonts w:ascii="仿宋" w:eastAsia="仿宋" w:hAnsi="仿宋"/>
          <w:color w:val="404040"/>
          <w:sz w:val="32"/>
          <w:szCs w:val="32"/>
          <w:shd w:val="clear" w:color="auto" w:fill="FFFFFF"/>
        </w:rPr>
        <w:t>资金总体</w:t>
      </w:r>
      <w:r>
        <w:rPr>
          <w:rFonts w:ascii="仿宋" w:eastAsia="仿宋" w:hAnsi="仿宋" w:hint="eastAsia"/>
          <w:color w:val="404040"/>
          <w:sz w:val="32"/>
          <w:szCs w:val="32"/>
          <w:shd w:val="clear" w:color="auto" w:fill="FFFFFF"/>
        </w:rPr>
        <w:t>支出</w:t>
      </w:r>
      <w:r w:rsidR="00B07026">
        <w:rPr>
          <w:rFonts w:ascii="仿宋" w:eastAsia="仿宋" w:hAnsi="仿宋"/>
          <w:color w:val="404040"/>
          <w:sz w:val="32"/>
          <w:szCs w:val="32"/>
          <w:shd w:val="clear" w:color="auto" w:fill="FFFFFF"/>
        </w:rPr>
        <w:t>1628.05</w:t>
      </w:r>
      <w:r>
        <w:rPr>
          <w:rFonts w:ascii="仿宋" w:eastAsia="仿宋" w:hAnsi="仿宋"/>
          <w:color w:val="404040"/>
          <w:sz w:val="32"/>
          <w:szCs w:val="32"/>
          <w:shd w:val="clear" w:color="auto" w:fill="FFFFFF"/>
        </w:rPr>
        <w:t>万元，其中，基本支出</w:t>
      </w:r>
      <w:r w:rsidR="00B07026">
        <w:rPr>
          <w:rFonts w:ascii="仿宋" w:eastAsia="仿宋" w:hAnsi="仿宋"/>
          <w:color w:val="404040"/>
          <w:sz w:val="32"/>
          <w:szCs w:val="32"/>
          <w:shd w:val="clear" w:color="auto" w:fill="FFFFFF"/>
        </w:rPr>
        <w:t>1384.20</w:t>
      </w:r>
      <w:r>
        <w:rPr>
          <w:rFonts w:ascii="仿宋" w:eastAsia="仿宋" w:hAnsi="仿宋"/>
          <w:color w:val="404040"/>
          <w:sz w:val="32"/>
          <w:szCs w:val="32"/>
          <w:shd w:val="clear" w:color="auto" w:fill="FFFFFF"/>
        </w:rPr>
        <w:t>万元，项目</w:t>
      </w:r>
      <w:r>
        <w:rPr>
          <w:rFonts w:ascii="仿宋" w:eastAsia="仿宋" w:hAnsi="仿宋" w:hint="eastAsia"/>
          <w:color w:val="404040"/>
          <w:sz w:val="32"/>
          <w:szCs w:val="32"/>
          <w:shd w:val="clear" w:color="auto" w:fill="FFFFFF"/>
        </w:rPr>
        <w:t>支出</w:t>
      </w:r>
      <w:r w:rsidR="00B07026">
        <w:rPr>
          <w:rFonts w:ascii="仿宋" w:eastAsia="仿宋" w:hAnsi="仿宋"/>
          <w:color w:val="404040"/>
          <w:sz w:val="32"/>
          <w:szCs w:val="32"/>
          <w:shd w:val="clear" w:color="auto" w:fill="FFFFFF"/>
        </w:rPr>
        <w:t>243.85</w:t>
      </w:r>
      <w:r>
        <w:rPr>
          <w:rFonts w:ascii="仿宋" w:eastAsia="仿宋" w:hAnsi="仿宋"/>
          <w:color w:val="404040"/>
          <w:sz w:val="32"/>
          <w:szCs w:val="32"/>
          <w:shd w:val="clear" w:color="auto" w:fill="FFFFFF"/>
        </w:rPr>
        <w:t>万</w:t>
      </w:r>
      <w:r>
        <w:rPr>
          <w:rFonts w:ascii="仿宋" w:eastAsia="仿宋" w:hAnsi="仿宋"/>
          <w:color w:val="404040"/>
          <w:sz w:val="32"/>
          <w:szCs w:val="32"/>
          <w:shd w:val="clear" w:color="auto" w:fill="FFFFFF"/>
        </w:rPr>
        <w:lastRenderedPageBreak/>
        <w:t>元。</w:t>
      </w:r>
      <w:r>
        <w:rPr>
          <w:rFonts w:ascii="仿宋" w:eastAsia="仿宋" w:hAnsi="仿宋" w:hint="eastAsia"/>
          <w:color w:val="404040"/>
          <w:sz w:val="32"/>
          <w:szCs w:val="32"/>
          <w:shd w:val="clear" w:color="auto" w:fill="FFFFFF"/>
        </w:rPr>
        <w:t>预算</w:t>
      </w:r>
      <w:r>
        <w:rPr>
          <w:rFonts w:ascii="仿宋" w:eastAsia="仿宋" w:hAnsi="仿宋"/>
          <w:color w:val="404040"/>
          <w:sz w:val="32"/>
          <w:szCs w:val="32"/>
          <w:shd w:val="clear" w:color="auto" w:fill="FFFFFF"/>
        </w:rPr>
        <w:t>执行率为</w:t>
      </w:r>
      <w:r w:rsidR="00D6715C">
        <w:rPr>
          <w:rFonts w:ascii="仿宋" w:eastAsia="仿宋" w:hAnsi="仿宋" w:hint="eastAsia"/>
          <w:color w:val="404040"/>
          <w:sz w:val="32"/>
          <w:szCs w:val="32"/>
          <w:shd w:val="clear" w:color="auto" w:fill="FFFFFF"/>
        </w:rPr>
        <w:t>9</w:t>
      </w:r>
      <w:r w:rsidR="00B07026">
        <w:rPr>
          <w:rFonts w:ascii="仿宋" w:eastAsia="仿宋" w:hAnsi="仿宋"/>
          <w:color w:val="404040"/>
          <w:sz w:val="32"/>
          <w:szCs w:val="32"/>
          <w:shd w:val="clear" w:color="auto" w:fill="FFFFFF"/>
        </w:rPr>
        <w:t>7.95</w:t>
      </w:r>
      <w:r>
        <w:rPr>
          <w:rFonts w:ascii="仿宋" w:eastAsia="仿宋" w:hAnsi="仿宋" w:hint="eastAsia"/>
          <w:color w:val="404040"/>
          <w:sz w:val="32"/>
          <w:szCs w:val="32"/>
          <w:shd w:val="clear" w:color="auto" w:fill="FFFFFF"/>
        </w:rPr>
        <w:t>%。</w:t>
      </w:r>
    </w:p>
    <w:p w14:paraId="48243C87" w14:textId="77777777" w:rsidR="0084361C" w:rsidRDefault="00E17F86">
      <w:pPr>
        <w:spacing w:line="600" w:lineRule="exact"/>
        <w:ind w:leftChars="50" w:left="105" w:firstLineChars="150" w:firstLine="480"/>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Pr>
          <w:rFonts w:ascii="黑体" w:eastAsia="黑体" w:hAnsi="黑体" w:cs="宋体"/>
          <w:color w:val="000000"/>
          <w:kern w:val="0"/>
          <w:sz w:val="32"/>
          <w:szCs w:val="32"/>
        </w:rPr>
        <w:t>、整体绩效目标实现情况</w:t>
      </w:r>
    </w:p>
    <w:p w14:paraId="05F5E648"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（一）产出完成情况分析</w:t>
      </w:r>
    </w:p>
    <w:p w14:paraId="458FFF58" w14:textId="2C533B2B" w:rsidR="0084361C" w:rsidRDefault="00E17F86">
      <w:pPr>
        <w:spacing w:line="600" w:lineRule="exact"/>
        <w:ind w:leftChars="50" w:left="105" w:firstLineChars="150" w:firstLine="480"/>
        <w:rPr>
          <w:rFonts w:ascii="仿宋_GB2312" w:eastAsia="仿宋_GB2312" w:hAnsi="宋体" w:cs="宋体"/>
          <w:color w:val="000000"/>
          <w:kern w:val="0"/>
          <w:sz w:val="32"/>
          <w:szCs w:val="32"/>
        </w:rPr>
      </w:pPr>
      <w:r w:rsidRPr="00192FE2">
        <w:rPr>
          <w:rFonts w:ascii="仿宋_GB2312" w:eastAsia="仿宋_GB2312" w:hAnsi="宋体" w:cs="宋体" w:hint="eastAsia"/>
          <w:color w:val="000000"/>
          <w:kern w:val="0"/>
          <w:sz w:val="32"/>
          <w:szCs w:val="32"/>
        </w:rPr>
        <w:t>1.产出数量</w:t>
      </w:r>
    </w:p>
    <w:p w14:paraId="1011AE7A" w14:textId="1DF425BE" w:rsidR="00B66022" w:rsidRPr="00B66022" w:rsidRDefault="00F23539" w:rsidP="00B66022">
      <w:pPr>
        <w:spacing w:line="58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农工党北京市委</w:t>
      </w:r>
      <w:r w:rsidR="00B66022" w:rsidRPr="00B66022">
        <w:rPr>
          <w:rFonts w:ascii="仿宋" w:eastAsia="仿宋" w:hAnsi="仿宋" w:hint="eastAsia"/>
          <w:color w:val="404040"/>
          <w:sz w:val="32"/>
          <w:szCs w:val="32"/>
          <w:shd w:val="clear" w:color="auto" w:fill="FFFFFF"/>
        </w:rPr>
        <w:t>围绕习近平总书记重要讲话和重要指示批示精神、中共二十届三中全会精神等，开展理论学习中心组集体学习9次。主要领导带头作中共二十届三中全会精神宣讲，撰写发表学习体会，有效发挥示范引领作用。探索“开门办讲”，统筹资源合力，举办新语大讲堂9期，集体学习6000余人次。</w:t>
      </w:r>
    </w:p>
    <w:p w14:paraId="75AC43BE" w14:textId="29CB0EF6" w:rsidR="00B66022" w:rsidRPr="00B66022" w:rsidRDefault="00B66022" w:rsidP="00B66022">
      <w:pPr>
        <w:spacing w:line="580" w:lineRule="exact"/>
        <w:ind w:firstLineChars="200" w:firstLine="640"/>
        <w:rPr>
          <w:rFonts w:ascii="仿宋" w:eastAsia="仿宋" w:hAnsi="仿宋"/>
          <w:color w:val="404040"/>
          <w:sz w:val="32"/>
          <w:szCs w:val="32"/>
          <w:shd w:val="clear" w:color="auto" w:fill="FFFFFF"/>
        </w:rPr>
      </w:pPr>
      <w:r w:rsidRPr="00B66022">
        <w:rPr>
          <w:rFonts w:ascii="仿宋" w:eastAsia="仿宋" w:hAnsi="仿宋" w:hint="eastAsia"/>
          <w:color w:val="404040"/>
          <w:sz w:val="32"/>
          <w:szCs w:val="32"/>
          <w:shd w:val="clear" w:color="auto" w:fill="FFFFFF"/>
        </w:rPr>
        <w:t>结合新中国成立75周年、人民政协成立75周年和中共中央发布“五一口号”76周年等重大时间节点，做好思想引导和主题宣传，开展主题征文、书画创作、主题展览、学习宣教等各类主题活动30余次，参与人数1200余人次。</w:t>
      </w:r>
    </w:p>
    <w:p w14:paraId="6E09B753" w14:textId="14839896" w:rsidR="00B66022" w:rsidRPr="00B66022" w:rsidRDefault="00B66022" w:rsidP="00B66022">
      <w:pPr>
        <w:spacing w:line="600" w:lineRule="exact"/>
        <w:ind w:firstLineChars="200" w:firstLine="640"/>
        <w:rPr>
          <w:rFonts w:ascii="仿宋" w:eastAsia="仿宋" w:hAnsi="仿宋"/>
          <w:color w:val="404040"/>
          <w:sz w:val="32"/>
          <w:szCs w:val="32"/>
          <w:shd w:val="clear" w:color="auto" w:fill="FFFFFF"/>
        </w:rPr>
      </w:pPr>
      <w:r w:rsidRPr="00B66022">
        <w:rPr>
          <w:rFonts w:ascii="仿宋" w:eastAsia="仿宋" w:hAnsi="仿宋" w:hint="eastAsia"/>
          <w:color w:val="404040"/>
          <w:sz w:val="32"/>
          <w:szCs w:val="32"/>
          <w:shd w:val="clear" w:color="auto" w:fill="FFFFFF"/>
        </w:rPr>
        <w:t>加强新闻宣传策划，微信公众号</w:t>
      </w:r>
      <w:r>
        <w:rPr>
          <w:rFonts w:ascii="仿宋" w:eastAsia="仿宋" w:hAnsi="仿宋" w:hint="eastAsia"/>
          <w:color w:val="404040"/>
          <w:sz w:val="32"/>
          <w:szCs w:val="32"/>
          <w:shd w:val="clear" w:color="auto" w:fill="FFFFFF"/>
        </w:rPr>
        <w:t>推出</w:t>
      </w:r>
      <w:r w:rsidRPr="00B66022">
        <w:rPr>
          <w:rFonts w:ascii="仿宋" w:eastAsia="仿宋" w:hAnsi="仿宋" w:hint="eastAsia"/>
          <w:color w:val="404040"/>
          <w:sz w:val="32"/>
          <w:szCs w:val="32"/>
          <w:shd w:val="clear" w:color="auto" w:fill="FFFFFF"/>
        </w:rPr>
        <w:t>文章513篇，总阅读量19.3万人次，网站信息543篇，短视频49件，中央主流媒体涉市委会报道97篇，积极讲好多党合作故事和“北京农工”履职故事。探索宣传“走出去”，走访团结报社、中国新闻报社加强宣传协作，主动向主要新闻媒体推送新闻线索，适时邀请10批46人次媒体记者采访、参与市委会活动。</w:t>
      </w:r>
    </w:p>
    <w:p w14:paraId="34DAD553" w14:textId="77777777" w:rsidR="0084361C" w:rsidRPr="00192FE2" w:rsidRDefault="00E17F86" w:rsidP="00192FE2">
      <w:pPr>
        <w:spacing w:line="600" w:lineRule="exact"/>
        <w:ind w:leftChars="50" w:left="105" w:firstLineChars="150" w:firstLine="480"/>
        <w:rPr>
          <w:rFonts w:ascii="仿宋_GB2312" w:eastAsia="仿宋_GB2312" w:hAnsi="宋体" w:cs="宋体"/>
          <w:color w:val="000000"/>
          <w:kern w:val="0"/>
          <w:sz w:val="32"/>
          <w:szCs w:val="32"/>
        </w:rPr>
      </w:pPr>
      <w:r w:rsidRPr="00192FE2">
        <w:rPr>
          <w:rFonts w:ascii="仿宋_GB2312" w:eastAsia="仿宋_GB2312" w:hAnsi="宋体" w:cs="宋体" w:hint="eastAsia"/>
          <w:color w:val="000000"/>
          <w:kern w:val="0"/>
          <w:sz w:val="32"/>
          <w:szCs w:val="32"/>
        </w:rPr>
        <w:t>2.产出</w:t>
      </w:r>
      <w:r w:rsidRPr="00192FE2">
        <w:rPr>
          <w:rFonts w:ascii="仿宋_GB2312" w:eastAsia="仿宋_GB2312" w:hAnsi="宋体" w:cs="宋体"/>
          <w:color w:val="000000"/>
          <w:kern w:val="0"/>
          <w:sz w:val="32"/>
          <w:szCs w:val="32"/>
        </w:rPr>
        <w:t>质量</w:t>
      </w:r>
    </w:p>
    <w:p w14:paraId="6A0493BE" w14:textId="2DCA8648" w:rsidR="00500CF8" w:rsidRPr="00D2301B" w:rsidRDefault="00500CF8" w:rsidP="00D2301B">
      <w:pPr>
        <w:spacing w:line="600" w:lineRule="exact"/>
        <w:ind w:firstLineChars="200" w:firstLine="640"/>
        <w:rPr>
          <w:rFonts w:ascii="仿宋" w:eastAsia="仿宋" w:hAnsi="仿宋"/>
          <w:color w:val="404040"/>
          <w:sz w:val="32"/>
          <w:szCs w:val="32"/>
          <w:shd w:val="clear" w:color="auto" w:fill="FFFFFF"/>
        </w:rPr>
      </w:pPr>
      <w:r w:rsidRPr="00D2301B">
        <w:rPr>
          <w:rFonts w:ascii="仿宋" w:eastAsia="仿宋" w:hAnsi="仿宋" w:hint="eastAsia"/>
          <w:color w:val="404040"/>
          <w:sz w:val="32"/>
          <w:szCs w:val="32"/>
          <w:shd w:val="clear" w:color="auto" w:fill="FFFFFF"/>
        </w:rPr>
        <w:t>坚持“研以致用”，深入开展参政党理论课题研究，《民</w:t>
      </w:r>
      <w:r w:rsidRPr="00D2301B">
        <w:rPr>
          <w:rFonts w:ascii="仿宋" w:eastAsia="仿宋" w:hAnsi="仿宋" w:hint="eastAsia"/>
          <w:color w:val="404040"/>
          <w:sz w:val="32"/>
          <w:szCs w:val="32"/>
          <w:shd w:val="clear" w:color="auto" w:fill="FFFFFF"/>
        </w:rPr>
        <w:lastRenderedPageBreak/>
        <w:t>主党派内部监督制度的问题研究与体系构建》《新时代国际统一战线视域下中国形象的海外主流媒体传播方略研究》等2项课题中标北京统战理论研究基地课题招标，征集理论研究成果38篇，20篇获奖。深入挖掘历史档案资源，举办“珍档撷萃”历史档案专题展，参与策划拍摄中央广播电视总台《我和我的祖国》专题片《彭泽民 永跟党走》。清明节、国家公祭日推出《怀念王守先烈士》党史专题，传承农工党烈士先辈精神。</w:t>
      </w:r>
    </w:p>
    <w:p w14:paraId="12CAB317" w14:textId="68424C0B" w:rsidR="00D2301B" w:rsidRPr="00D2301B" w:rsidRDefault="00D2301B" w:rsidP="00D2301B">
      <w:pPr>
        <w:spacing w:line="600" w:lineRule="exact"/>
        <w:ind w:firstLineChars="200" w:firstLine="640"/>
        <w:rPr>
          <w:rFonts w:ascii="仿宋" w:eastAsia="仿宋" w:hAnsi="仿宋"/>
          <w:color w:val="404040"/>
          <w:sz w:val="32"/>
          <w:szCs w:val="32"/>
          <w:shd w:val="clear" w:color="auto" w:fill="FFFFFF"/>
        </w:rPr>
      </w:pPr>
      <w:r w:rsidRPr="00D2301B">
        <w:rPr>
          <w:rFonts w:ascii="仿宋" w:eastAsia="仿宋" w:hAnsi="仿宋" w:hint="eastAsia"/>
          <w:color w:val="404040"/>
          <w:sz w:val="32"/>
          <w:szCs w:val="32"/>
          <w:shd w:val="clear" w:color="auto" w:fill="FFFFFF"/>
        </w:rPr>
        <w:t>围绕北京市贯彻落实中共二十届三中全会精神、平安北京建设等议题，与北京市主要领导对话协商，提出“深化生态文明体制改革”“培育生物医药产业新质生产力和发展新动能”</w:t>
      </w:r>
      <w:r>
        <w:rPr>
          <w:rFonts w:ascii="仿宋" w:eastAsia="仿宋" w:hAnsi="仿宋" w:hint="eastAsia"/>
          <w:color w:val="404040"/>
          <w:sz w:val="32"/>
          <w:szCs w:val="32"/>
          <w:shd w:val="clear" w:color="auto" w:fill="FFFFFF"/>
        </w:rPr>
        <w:t>、</w:t>
      </w:r>
      <w:r w:rsidRPr="00D2301B">
        <w:rPr>
          <w:rFonts w:ascii="仿宋" w:eastAsia="仿宋" w:hAnsi="仿宋" w:hint="eastAsia"/>
          <w:color w:val="404040"/>
          <w:sz w:val="32"/>
          <w:szCs w:val="32"/>
          <w:shd w:val="clear" w:color="auto" w:fill="FFFFFF"/>
        </w:rPr>
        <w:t>“做好‘四水’统筹发展改革”等协商建议。持续建言美丽北京建设，推动“全面建设美丽北京实施意见”出台，美丽中国“北京方案”实现落地落实。4件建言成果转化为农工党中央集体提案提交全国政协。参与实践全过程人民民主，提交反映社情民意信息568篇，其中，430篇次获有关部门采用，1篇获得党和国家领导人批示，7篇获得北京市领导同志批示，21篇获得全国政协采用。</w:t>
      </w:r>
    </w:p>
    <w:p w14:paraId="18BF8E5B" w14:textId="75D29004" w:rsidR="00A84CD7" w:rsidRPr="00560901" w:rsidRDefault="00A84CD7" w:rsidP="00192FE2">
      <w:pPr>
        <w:spacing w:line="600" w:lineRule="exact"/>
        <w:ind w:firstLineChars="200" w:firstLine="640"/>
        <w:rPr>
          <w:rFonts w:ascii="仿宋" w:eastAsia="仿宋" w:hAnsi="仿宋"/>
          <w:sz w:val="32"/>
          <w:szCs w:val="32"/>
          <w:shd w:val="clear" w:color="auto" w:fill="FFFFFF"/>
        </w:rPr>
      </w:pPr>
      <w:r w:rsidRPr="00560901">
        <w:rPr>
          <w:rFonts w:ascii="仿宋" w:eastAsia="仿宋" w:hAnsi="仿宋" w:hint="eastAsia"/>
          <w:sz w:val="32"/>
          <w:szCs w:val="32"/>
          <w:shd w:val="clear" w:color="auto" w:fill="FFFFFF"/>
        </w:rPr>
        <w:t>深化党派履职与政协履职双向互动、相互促进。依托政协全会、议政会、议政性常委会等政协建言平台，提出意见建议30条，提交集体提案10件，3件集体提案、3件委员提案被评为202</w:t>
      </w:r>
      <w:r w:rsidR="00E9292E">
        <w:rPr>
          <w:rFonts w:ascii="仿宋" w:eastAsia="仿宋" w:hAnsi="仿宋"/>
          <w:sz w:val="32"/>
          <w:szCs w:val="32"/>
          <w:shd w:val="clear" w:color="auto" w:fill="FFFFFF"/>
        </w:rPr>
        <w:t>4</w:t>
      </w:r>
      <w:r w:rsidRPr="00560901">
        <w:rPr>
          <w:rFonts w:ascii="仿宋" w:eastAsia="仿宋" w:hAnsi="仿宋" w:hint="eastAsia"/>
          <w:sz w:val="32"/>
          <w:szCs w:val="32"/>
          <w:shd w:val="clear" w:color="auto" w:fill="FFFFFF"/>
        </w:rPr>
        <w:t>年度优秀提案。</w:t>
      </w:r>
    </w:p>
    <w:p w14:paraId="390DD146" w14:textId="77777777" w:rsidR="0084361C" w:rsidRPr="00192FE2" w:rsidRDefault="00E17F86" w:rsidP="00192FE2">
      <w:pPr>
        <w:spacing w:line="600" w:lineRule="exact"/>
        <w:ind w:leftChars="50" w:left="105" w:firstLineChars="150" w:firstLine="480"/>
        <w:rPr>
          <w:rFonts w:ascii="仿宋_GB2312" w:eastAsia="仿宋_GB2312" w:hAnsi="宋体" w:cs="宋体"/>
          <w:color w:val="000000"/>
          <w:kern w:val="0"/>
          <w:sz w:val="32"/>
          <w:szCs w:val="32"/>
        </w:rPr>
      </w:pPr>
      <w:r w:rsidRPr="00192FE2">
        <w:rPr>
          <w:rFonts w:ascii="仿宋_GB2312" w:eastAsia="仿宋_GB2312" w:hAnsi="宋体" w:cs="宋体" w:hint="eastAsia"/>
          <w:color w:val="000000"/>
          <w:kern w:val="0"/>
          <w:sz w:val="32"/>
          <w:szCs w:val="32"/>
        </w:rPr>
        <w:t>3.产出</w:t>
      </w:r>
      <w:r w:rsidRPr="00192FE2">
        <w:rPr>
          <w:rFonts w:ascii="仿宋_GB2312" w:eastAsia="仿宋_GB2312" w:hAnsi="宋体" w:cs="宋体"/>
          <w:color w:val="000000"/>
          <w:kern w:val="0"/>
          <w:sz w:val="32"/>
          <w:szCs w:val="32"/>
        </w:rPr>
        <w:t>进度</w:t>
      </w:r>
    </w:p>
    <w:p w14:paraId="62224FCE" w14:textId="4731A2D3" w:rsidR="0084361C" w:rsidRPr="00192FE2" w:rsidRDefault="00E17F86">
      <w:pPr>
        <w:spacing w:line="600" w:lineRule="exact"/>
        <w:ind w:firstLineChars="200" w:firstLine="640"/>
        <w:rPr>
          <w:rFonts w:ascii="仿宋" w:eastAsia="仿宋" w:hAnsi="仿宋"/>
          <w:color w:val="404040"/>
          <w:sz w:val="32"/>
          <w:szCs w:val="32"/>
          <w:shd w:val="clear" w:color="auto" w:fill="FFFFFF"/>
        </w:rPr>
      </w:pPr>
      <w:r w:rsidRPr="00192FE2">
        <w:rPr>
          <w:rFonts w:ascii="仿宋" w:eastAsia="仿宋" w:hAnsi="仿宋" w:hint="eastAsia"/>
          <w:color w:val="404040"/>
          <w:sz w:val="32"/>
          <w:szCs w:val="32"/>
          <w:shd w:val="clear" w:color="auto" w:fill="FFFFFF"/>
        </w:rPr>
        <w:lastRenderedPageBreak/>
        <w:t>202</w:t>
      </w:r>
      <w:r w:rsidR="00CA69E5" w:rsidRPr="00192FE2">
        <w:rPr>
          <w:rFonts w:ascii="仿宋" w:eastAsia="仿宋" w:hAnsi="仿宋"/>
          <w:color w:val="404040"/>
          <w:sz w:val="32"/>
          <w:szCs w:val="32"/>
          <w:shd w:val="clear" w:color="auto" w:fill="FFFFFF"/>
        </w:rPr>
        <w:t>4</w:t>
      </w:r>
      <w:r w:rsidRPr="00192FE2">
        <w:rPr>
          <w:rFonts w:ascii="仿宋" w:eastAsia="仿宋" w:hAnsi="仿宋" w:hint="eastAsia"/>
          <w:color w:val="404040"/>
          <w:sz w:val="32"/>
          <w:szCs w:val="32"/>
          <w:shd w:val="clear" w:color="auto" w:fill="FFFFFF"/>
        </w:rPr>
        <w:t>年</w:t>
      </w:r>
      <w:r w:rsidR="008F6B95" w:rsidRPr="00192FE2">
        <w:rPr>
          <w:rFonts w:ascii="仿宋" w:eastAsia="仿宋" w:hAnsi="仿宋" w:hint="eastAsia"/>
          <w:color w:val="404040"/>
          <w:sz w:val="32"/>
          <w:szCs w:val="32"/>
          <w:shd w:val="clear" w:color="auto" w:fill="FFFFFF"/>
        </w:rPr>
        <w:t>农工党</w:t>
      </w:r>
      <w:r w:rsidRPr="00192FE2">
        <w:rPr>
          <w:rFonts w:ascii="仿宋" w:eastAsia="仿宋" w:hAnsi="仿宋" w:hint="eastAsia"/>
          <w:color w:val="404040"/>
          <w:sz w:val="32"/>
          <w:szCs w:val="32"/>
          <w:shd w:val="clear" w:color="auto" w:fill="FFFFFF"/>
        </w:rPr>
        <w:t>北京市委根据部门整体产出目标完成情况分析，按照</w:t>
      </w:r>
      <w:r w:rsidR="00CA69E5" w:rsidRPr="00192FE2">
        <w:rPr>
          <w:rFonts w:ascii="仿宋" w:eastAsia="仿宋" w:hAnsi="仿宋" w:hint="eastAsia"/>
          <w:color w:val="404040"/>
          <w:sz w:val="32"/>
          <w:szCs w:val="32"/>
          <w:shd w:val="clear" w:color="auto" w:fill="FFFFFF"/>
        </w:rPr>
        <w:t>党</w:t>
      </w:r>
      <w:r w:rsidRPr="00192FE2">
        <w:rPr>
          <w:rFonts w:ascii="仿宋" w:eastAsia="仿宋" w:hAnsi="仿宋" w:hint="eastAsia"/>
          <w:color w:val="404040"/>
          <w:sz w:val="32"/>
          <w:szCs w:val="32"/>
          <w:shd w:val="clear" w:color="auto" w:fill="FFFFFF"/>
        </w:rPr>
        <w:t>中央及北京市政府重点工作，部门预算内的工作任务全部按照计划要求完成，年度各项工作有序推进落实，有效保障了项目实施进度及产出时效性。</w:t>
      </w:r>
    </w:p>
    <w:p w14:paraId="595C88D2" w14:textId="77777777" w:rsidR="0084361C" w:rsidRDefault="00E17F86">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产出</w:t>
      </w:r>
      <w:r>
        <w:rPr>
          <w:rFonts w:ascii="仿宋_GB2312" w:eastAsia="仿宋_GB2312" w:hAnsi="宋体" w:cs="宋体"/>
          <w:color w:val="000000"/>
          <w:kern w:val="0"/>
          <w:sz w:val="32"/>
          <w:szCs w:val="32"/>
        </w:rPr>
        <w:t>成本</w:t>
      </w:r>
    </w:p>
    <w:p w14:paraId="4DF9CB36" w14:textId="5E1CFDB7" w:rsidR="0084361C" w:rsidRPr="00E04BD9" w:rsidRDefault="00560901">
      <w:pPr>
        <w:spacing w:line="600" w:lineRule="exact"/>
        <w:ind w:leftChars="50" w:left="105" w:firstLineChars="150" w:firstLine="480"/>
        <w:rPr>
          <w:rFonts w:ascii="楷体_GB2312" w:eastAsia="仿宋"/>
          <w:color w:val="FF0000"/>
          <w:sz w:val="32"/>
          <w:szCs w:val="32"/>
        </w:rPr>
      </w:pPr>
      <w:r w:rsidRPr="00560901">
        <w:rPr>
          <w:rFonts w:ascii="仿宋" w:eastAsia="仿宋" w:hAnsi="仿宋" w:hint="eastAsia"/>
          <w:color w:val="404040"/>
          <w:sz w:val="32"/>
          <w:szCs w:val="32"/>
          <w:shd w:val="clear" w:color="auto" w:fill="FFFFFF"/>
        </w:rPr>
        <w:t>资金总体在预算范围内，成本控制率为</w:t>
      </w:r>
      <w:r>
        <w:rPr>
          <w:rFonts w:ascii="仿宋" w:eastAsia="仿宋" w:hAnsi="仿宋"/>
          <w:color w:val="404040"/>
          <w:sz w:val="32"/>
          <w:szCs w:val="32"/>
          <w:shd w:val="clear" w:color="auto" w:fill="FFFFFF"/>
        </w:rPr>
        <w:t>97.95</w:t>
      </w:r>
      <w:r w:rsidRPr="00560901">
        <w:rPr>
          <w:rFonts w:ascii="仿宋" w:eastAsia="仿宋" w:hAnsi="仿宋" w:hint="eastAsia"/>
          <w:color w:val="404040"/>
          <w:sz w:val="32"/>
          <w:szCs w:val="32"/>
          <w:shd w:val="clear" w:color="auto" w:fill="FFFFFF"/>
        </w:rPr>
        <w:t>%。基本支出成本和项目支出成本控制率均保持在高位水平，总体</w:t>
      </w:r>
      <w:r w:rsidR="00F23539">
        <w:rPr>
          <w:rFonts w:ascii="仿宋" w:eastAsia="仿宋" w:hAnsi="仿宋" w:hint="eastAsia"/>
          <w:color w:val="404040"/>
          <w:sz w:val="32"/>
          <w:szCs w:val="32"/>
          <w:shd w:val="clear" w:color="auto" w:fill="FFFFFF"/>
        </w:rPr>
        <w:t>预决</w:t>
      </w:r>
      <w:r w:rsidRPr="00560901">
        <w:rPr>
          <w:rFonts w:ascii="仿宋" w:eastAsia="仿宋" w:hAnsi="仿宋" w:hint="eastAsia"/>
          <w:color w:val="404040"/>
          <w:sz w:val="32"/>
          <w:szCs w:val="32"/>
          <w:shd w:val="clear" w:color="auto" w:fill="FFFFFF"/>
        </w:rPr>
        <w:t>算差异较小，资金预算科学、合理，预算落实严谨。</w:t>
      </w:r>
    </w:p>
    <w:p w14:paraId="02F5B82E"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（二）效果</w:t>
      </w:r>
      <w:r>
        <w:rPr>
          <w:rFonts w:ascii="楷体_GB2312" w:eastAsia="楷体_GB2312"/>
          <w:sz w:val="32"/>
          <w:szCs w:val="32"/>
        </w:rPr>
        <w:t>实现情况分析</w:t>
      </w:r>
    </w:p>
    <w:p w14:paraId="27A75CDB" w14:textId="77777777" w:rsidR="0084361C" w:rsidRDefault="00E17F86">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1.经济</w:t>
      </w:r>
      <w:r>
        <w:rPr>
          <w:rFonts w:ascii="仿宋_GB2312" w:eastAsia="仿宋_GB2312" w:hAnsi="宋体" w:cs="宋体"/>
          <w:color w:val="000000"/>
          <w:kern w:val="0"/>
          <w:sz w:val="32"/>
          <w:szCs w:val="32"/>
        </w:rPr>
        <w:t>效益</w:t>
      </w:r>
    </w:p>
    <w:p w14:paraId="6B4BCD28" w14:textId="12BA4211" w:rsidR="009B19E4" w:rsidRPr="009B19E4" w:rsidRDefault="009B19E4" w:rsidP="009B19E4">
      <w:pPr>
        <w:spacing w:line="580" w:lineRule="exact"/>
        <w:ind w:firstLineChars="200" w:firstLine="640"/>
        <w:rPr>
          <w:rFonts w:ascii="仿宋" w:eastAsia="仿宋" w:hAnsi="仿宋"/>
          <w:color w:val="404040"/>
          <w:sz w:val="32"/>
          <w:szCs w:val="32"/>
          <w:shd w:val="clear" w:color="auto" w:fill="FFFFFF"/>
        </w:rPr>
      </w:pPr>
      <w:r w:rsidRPr="009B19E4">
        <w:rPr>
          <w:rFonts w:ascii="仿宋" w:eastAsia="仿宋" w:hAnsi="仿宋" w:hint="eastAsia"/>
          <w:color w:val="404040"/>
          <w:sz w:val="32"/>
          <w:szCs w:val="32"/>
          <w:shd w:val="clear" w:color="auto" w:fill="FFFFFF"/>
        </w:rPr>
        <w:t>农工党北京市委将市委会所长和区域发展所需紧密结合，持续开展服务帮扶。不断深化支持门头沟区发展“8+1”行动，系统推进“蒲公英</w:t>
      </w:r>
      <w:r w:rsidRPr="009B19E4">
        <w:rPr>
          <w:rFonts w:ascii="微软雅黑" w:eastAsia="微软雅黑" w:hAnsi="微软雅黑" w:cs="微软雅黑" w:hint="eastAsia"/>
          <w:color w:val="404040"/>
          <w:sz w:val="32"/>
          <w:szCs w:val="32"/>
          <w:shd w:val="clear" w:color="auto" w:fill="FFFFFF"/>
        </w:rPr>
        <w:t>•</w:t>
      </w:r>
      <w:r w:rsidRPr="009B19E4">
        <w:rPr>
          <w:rFonts w:ascii="仿宋" w:eastAsia="仿宋" w:hAnsi="仿宋" w:cs="仿宋" w:hint="eastAsia"/>
          <w:color w:val="404040"/>
          <w:sz w:val="32"/>
          <w:szCs w:val="32"/>
          <w:shd w:val="clear" w:color="auto" w:fill="FFFFFF"/>
        </w:rPr>
        <w:t>智慧医疗乡村行”、法治政府示范创建指导、京西地质文化保护与利用等</w:t>
      </w:r>
      <w:r w:rsidRPr="009B19E4">
        <w:rPr>
          <w:rFonts w:ascii="仿宋" w:eastAsia="仿宋" w:hAnsi="仿宋" w:hint="eastAsia"/>
          <w:color w:val="404040"/>
          <w:sz w:val="32"/>
          <w:szCs w:val="32"/>
          <w:shd w:val="clear" w:color="auto" w:fill="FFFFFF"/>
        </w:rPr>
        <w:t>6项重点帮扶项目，并取得明显成效。支持选派市委会机关干部担任门头沟区青白口村“第一书记”，协调30万元对口支持灾后恢复重建，联合各级组织持续开展送健康、送温暖、敬老爱老等对口帮扶活动。助力平谷区农业中关村建设，承办农工党中央与全国政协提案委联合开展的委员履职“服务为民”活动，组织义诊咨询、健康科普活动；实地调研了解情况，举办农文旅融合讲座，中医和科普进校园等主题活动。助力城市副中心产业高质量发展，统筹资源打造“行走的医院”“健康180”指挥中心。围绕京津冀协同发展，在京津冀社会服务共建基</w:t>
      </w:r>
      <w:r w:rsidRPr="009B19E4">
        <w:rPr>
          <w:rFonts w:ascii="仿宋" w:eastAsia="仿宋" w:hAnsi="仿宋" w:hint="eastAsia"/>
          <w:color w:val="404040"/>
          <w:sz w:val="32"/>
          <w:szCs w:val="32"/>
          <w:shd w:val="clear" w:color="auto" w:fill="FFFFFF"/>
        </w:rPr>
        <w:lastRenderedPageBreak/>
        <w:t>地开展定点、集中、长期持续帮扶。医科院委员会持续十年帮扶黄骅市人民医院，助力医院从二级晋升三级。西城区委接续十年“奔赴”河北省易县革命老区、衡水等地区，义诊帮扶3000余人次。</w:t>
      </w:r>
    </w:p>
    <w:p w14:paraId="64222F43" w14:textId="4FEDD551" w:rsidR="006D2A07" w:rsidRPr="009B19E4" w:rsidRDefault="00E17F86" w:rsidP="009B19E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2.社会效益</w:t>
      </w:r>
    </w:p>
    <w:p w14:paraId="19280ABF" w14:textId="0C82360D" w:rsidR="00B36B57" w:rsidRPr="009B19E4" w:rsidRDefault="009B19E4" w:rsidP="00B36B57">
      <w:pPr>
        <w:pStyle w:val="a4"/>
        <w:spacing w:line="560" w:lineRule="exact"/>
        <w:ind w:firstLineChars="200" w:firstLine="640"/>
        <w:jc w:val="both"/>
        <w:rPr>
          <w:rFonts w:ascii="仿宋" w:eastAsia="仿宋" w:hAnsi="仿宋"/>
          <w:color w:val="404040"/>
          <w:sz w:val="32"/>
          <w:szCs w:val="32"/>
          <w:shd w:val="clear" w:color="auto" w:fill="FFFFFF"/>
        </w:rPr>
      </w:pPr>
      <w:r w:rsidRPr="009B19E4">
        <w:rPr>
          <w:rFonts w:ascii="仿宋" w:eastAsia="仿宋" w:hAnsi="仿宋" w:hint="eastAsia"/>
          <w:color w:val="404040"/>
          <w:sz w:val="32"/>
          <w:szCs w:val="32"/>
          <w:shd w:val="clear" w:color="auto" w:fill="FFFFFF"/>
        </w:rPr>
        <w:t>农工党北京市委通过议政建言、课题研究、党史宣教、社情民意反映、民主监督等多种形式不断提高党员统战理论水平、参政议政能力，充分发挥党员在不同行业、领域的先锋模范作用，积极促进社会、文化、经济多领域高质量发展。全年发展党员345名，其中，重点分工领域占76.70%。目前全市农工党党员9090人，其中，医药卫生领域占54.80%，人口资源和生态环境领域占4.68%，相关科学技术、教育领域占13.81%，重点分工领域共占73.29%。</w:t>
      </w:r>
    </w:p>
    <w:p w14:paraId="77D6D1D4" w14:textId="77777777" w:rsidR="0084361C" w:rsidRDefault="00E17F86">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3.环境效益</w:t>
      </w:r>
    </w:p>
    <w:p w14:paraId="073C9B5E" w14:textId="77777777" w:rsidR="0084361C" w:rsidRDefault="00E17F86">
      <w:pPr>
        <w:spacing w:line="600" w:lineRule="exact"/>
        <w:ind w:leftChars="50" w:left="105" w:firstLineChars="150" w:firstLine="480"/>
        <w:rPr>
          <w:rFonts w:ascii="仿宋_GB2312" w:eastAsia="仿宋_GB2312" w:hAnsi="宋体" w:cs="宋体"/>
          <w:color w:val="000000"/>
          <w:kern w:val="0"/>
          <w:sz w:val="32"/>
          <w:szCs w:val="32"/>
        </w:rPr>
      </w:pPr>
      <w:r>
        <w:rPr>
          <w:rFonts w:ascii="仿宋" w:eastAsia="仿宋" w:hAnsi="仿宋" w:cs="仿宋_GB2312" w:hint="eastAsia"/>
          <w:sz w:val="32"/>
          <w:szCs w:val="32"/>
          <w:lang w:val="zh-TW"/>
        </w:rPr>
        <w:t>未涉及。</w:t>
      </w:r>
    </w:p>
    <w:p w14:paraId="3B21279C" w14:textId="77777777" w:rsidR="0084361C" w:rsidRDefault="00E17F86">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4.可持续</w:t>
      </w:r>
      <w:r>
        <w:rPr>
          <w:rFonts w:ascii="仿宋_GB2312" w:eastAsia="仿宋_GB2312" w:hAnsi="宋体" w:cs="宋体"/>
          <w:color w:val="000000"/>
          <w:kern w:val="0"/>
          <w:sz w:val="32"/>
          <w:szCs w:val="32"/>
        </w:rPr>
        <w:t>性影响</w:t>
      </w:r>
    </w:p>
    <w:p w14:paraId="11502209" w14:textId="704FE016" w:rsidR="00852B3B" w:rsidRPr="00852B3B" w:rsidRDefault="00852B3B" w:rsidP="00B36B57">
      <w:pPr>
        <w:spacing w:line="56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通过</w:t>
      </w:r>
      <w:r w:rsidRPr="00852B3B">
        <w:rPr>
          <w:rFonts w:ascii="仿宋" w:eastAsia="仿宋" w:hAnsi="仿宋" w:hint="eastAsia"/>
          <w:color w:val="404040"/>
          <w:sz w:val="32"/>
          <w:szCs w:val="32"/>
          <w:shd w:val="clear" w:color="auto" w:fill="FFFFFF"/>
        </w:rPr>
        <w:t>开展主题教育活动，举办多样化的文化实践活动，不断加强思想政治引领，推动建立各类项目长效机制，持续不断提升和扩大农工党专业性和影响力，并结合自身专业领域研究，为首都经济社会发展、产业发展提供创新性强、建设性高的专业意见，不但开拓创新、打造更加全面、专业的交流合作平台，推动履职尽责提质增效，围绕经济社会高质量发展、产业经济优质转型、人与自然和谐共生等主题，持续不断助力提升首都城市治理水平。</w:t>
      </w:r>
    </w:p>
    <w:p w14:paraId="48EA2220" w14:textId="77777777" w:rsidR="0084361C" w:rsidRDefault="00E17F86">
      <w:pPr>
        <w:spacing w:line="600" w:lineRule="exact"/>
        <w:ind w:leftChars="50" w:left="105" w:firstLineChars="150" w:firstLine="480"/>
        <w:rPr>
          <w:rFonts w:ascii="黑体" w:eastAsia="黑体" w:hAnsi="黑体" w:cs="宋体"/>
          <w:color w:val="000000"/>
          <w:kern w:val="0"/>
          <w:sz w:val="32"/>
          <w:szCs w:val="32"/>
        </w:rPr>
      </w:pPr>
      <w:r>
        <w:rPr>
          <w:rFonts w:ascii="黑体" w:eastAsia="黑体" w:hAnsi="黑体" w:cs="宋体" w:hint="eastAsia"/>
          <w:color w:val="000000"/>
          <w:kern w:val="0"/>
          <w:sz w:val="32"/>
          <w:szCs w:val="32"/>
        </w:rPr>
        <w:lastRenderedPageBreak/>
        <w:t>四</w:t>
      </w:r>
      <w:r>
        <w:rPr>
          <w:rFonts w:ascii="黑体" w:eastAsia="黑体" w:hAnsi="黑体" w:cs="宋体"/>
          <w:color w:val="000000"/>
          <w:kern w:val="0"/>
          <w:sz w:val="32"/>
          <w:szCs w:val="32"/>
        </w:rPr>
        <w:t>、预算管理</w:t>
      </w:r>
      <w:r>
        <w:rPr>
          <w:rFonts w:ascii="黑体" w:eastAsia="黑体" w:hAnsi="黑体" w:cs="宋体" w:hint="eastAsia"/>
          <w:color w:val="000000"/>
          <w:kern w:val="0"/>
          <w:sz w:val="32"/>
          <w:szCs w:val="32"/>
        </w:rPr>
        <w:t>情况分</w:t>
      </w:r>
      <w:r>
        <w:rPr>
          <w:rFonts w:ascii="黑体" w:eastAsia="黑体" w:hAnsi="黑体" w:cs="宋体"/>
          <w:color w:val="000000"/>
          <w:kern w:val="0"/>
          <w:sz w:val="32"/>
          <w:szCs w:val="32"/>
        </w:rPr>
        <w:t>析</w:t>
      </w:r>
    </w:p>
    <w:p w14:paraId="592BFEB7"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（一）财务管理</w:t>
      </w:r>
    </w:p>
    <w:p w14:paraId="07D78B33" w14:textId="77777777" w:rsidR="0084361C" w:rsidRPr="00005EE8" w:rsidRDefault="00E17F86">
      <w:pPr>
        <w:spacing w:line="600" w:lineRule="exact"/>
        <w:ind w:firstLineChars="200" w:firstLine="640"/>
        <w:rPr>
          <w:rFonts w:ascii="仿宋_GB2312" w:eastAsia="仿宋_GB2312" w:hAnsi="宋体" w:cs="宋体"/>
          <w:color w:val="000000"/>
          <w:kern w:val="0"/>
          <w:sz w:val="32"/>
          <w:szCs w:val="32"/>
        </w:rPr>
      </w:pPr>
      <w:r w:rsidRPr="00005EE8">
        <w:rPr>
          <w:rFonts w:ascii="仿宋_GB2312" w:eastAsia="仿宋_GB2312" w:hAnsi="宋体" w:cs="宋体" w:hint="eastAsia"/>
          <w:color w:val="000000"/>
          <w:kern w:val="0"/>
          <w:sz w:val="32"/>
          <w:szCs w:val="32"/>
        </w:rPr>
        <w:t>1.财务管理制度健全性</w:t>
      </w:r>
    </w:p>
    <w:p w14:paraId="7303D966" w14:textId="6C5BA408" w:rsidR="0084361C" w:rsidRDefault="008F6B95">
      <w:pPr>
        <w:spacing w:line="60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农工党</w:t>
      </w:r>
      <w:r w:rsidR="00E17F86">
        <w:rPr>
          <w:rFonts w:ascii="仿宋" w:eastAsia="仿宋" w:hAnsi="仿宋" w:hint="eastAsia"/>
          <w:color w:val="404040"/>
          <w:sz w:val="32"/>
          <w:szCs w:val="32"/>
          <w:shd w:val="clear" w:color="auto" w:fill="FFFFFF"/>
        </w:rPr>
        <w:t>北京市委注重自身建设，制定了财务管理制度，编制了内控管理手册，通过内控管理，在资金审批、预算管理、经费支出、会计核算、资产管理、政府采购等方面对单位经济业务活动和财务管理进行指导、规范、控制和监督，保障日常工作有章可循、稳步推进。</w:t>
      </w:r>
    </w:p>
    <w:p w14:paraId="75B80EE5" w14:textId="77777777" w:rsidR="0084361C" w:rsidRDefault="00E17F86">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2.资金使用合规性和安全性</w:t>
      </w:r>
    </w:p>
    <w:p w14:paraId="630C0936" w14:textId="6B65A66C" w:rsidR="00005EE8" w:rsidRPr="00005EE8" w:rsidRDefault="00005EE8" w:rsidP="00005EE8">
      <w:pPr>
        <w:spacing w:line="60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农工党北京市委</w:t>
      </w:r>
      <w:r w:rsidR="00E17F86">
        <w:rPr>
          <w:rFonts w:ascii="仿宋" w:eastAsia="仿宋" w:hAnsi="仿宋" w:hint="eastAsia"/>
          <w:color w:val="404040"/>
          <w:sz w:val="32"/>
          <w:szCs w:val="32"/>
          <w:shd w:val="clear" w:color="auto" w:fill="FFFFFF"/>
        </w:rPr>
        <w:t>严格遵守财经纪律和各项财务管理制度规定，坚持收支平衡原则，量入为出，坚决杜绝无预算、超预算支出行为。资金拨付审批程序完整规范，资金使用安全合规。项目资金严格实行专款专用、单独核算，严禁截留、挪用和超批复内容使用资金，确保项目经费支出合规。</w:t>
      </w:r>
    </w:p>
    <w:p w14:paraId="409BFCED" w14:textId="77777777" w:rsidR="0084361C" w:rsidRPr="00005EE8" w:rsidRDefault="00E17F86">
      <w:pPr>
        <w:spacing w:line="600" w:lineRule="exact"/>
        <w:ind w:firstLineChars="200" w:firstLine="640"/>
        <w:rPr>
          <w:rFonts w:ascii="仿宋_GB2312" w:eastAsia="仿宋_GB2312" w:hAnsi="宋体" w:cs="宋体"/>
          <w:color w:val="000000"/>
          <w:kern w:val="0"/>
          <w:sz w:val="32"/>
          <w:szCs w:val="32"/>
        </w:rPr>
      </w:pPr>
      <w:r w:rsidRPr="00005EE8">
        <w:rPr>
          <w:rFonts w:ascii="仿宋_GB2312" w:eastAsia="仿宋_GB2312" w:hAnsi="宋体" w:cs="宋体" w:hint="eastAsia"/>
          <w:color w:val="000000"/>
          <w:kern w:val="0"/>
          <w:sz w:val="32"/>
          <w:szCs w:val="32"/>
        </w:rPr>
        <w:t>3.会计基础信息完善性</w:t>
      </w:r>
    </w:p>
    <w:p w14:paraId="3B42DCFA" w14:textId="4B1DA094" w:rsidR="0084361C" w:rsidRDefault="00005EE8">
      <w:pPr>
        <w:spacing w:line="60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农工党北京市委</w:t>
      </w:r>
      <w:r w:rsidR="00E17F86">
        <w:rPr>
          <w:rFonts w:ascii="仿宋" w:eastAsia="仿宋" w:hAnsi="仿宋" w:hint="eastAsia"/>
          <w:color w:val="404040"/>
          <w:sz w:val="32"/>
          <w:szCs w:val="32"/>
          <w:shd w:val="clear" w:color="auto" w:fill="FFFFFF"/>
        </w:rPr>
        <w:t>严格执行政府会计准则和政府会计制度规定。按照政府会计准则及制度设置会计科目，进行日常会计核算，编制财务会计报表和部门决算报表，会计基础信息完善</w:t>
      </w:r>
      <w:r>
        <w:rPr>
          <w:rFonts w:ascii="仿宋" w:eastAsia="仿宋" w:hAnsi="仿宋" w:hint="eastAsia"/>
          <w:color w:val="404040"/>
          <w:sz w:val="32"/>
          <w:szCs w:val="32"/>
          <w:shd w:val="clear" w:color="auto" w:fill="FFFFFF"/>
        </w:rPr>
        <w:t>程度较高</w:t>
      </w:r>
      <w:r w:rsidR="00E17F86">
        <w:rPr>
          <w:rFonts w:ascii="仿宋" w:eastAsia="仿宋" w:hAnsi="仿宋" w:hint="eastAsia"/>
          <w:color w:val="404040"/>
          <w:sz w:val="32"/>
          <w:szCs w:val="32"/>
          <w:shd w:val="clear" w:color="auto" w:fill="FFFFFF"/>
        </w:rPr>
        <w:t>。</w:t>
      </w:r>
    </w:p>
    <w:p w14:paraId="0F24243C"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（二）资产管理</w:t>
      </w:r>
    </w:p>
    <w:p w14:paraId="788EDB39" w14:textId="77777777" w:rsidR="0084361C" w:rsidRDefault="00E17F86">
      <w:pPr>
        <w:spacing w:line="600" w:lineRule="exact"/>
        <w:ind w:firstLineChars="200" w:firstLine="640"/>
        <w:rPr>
          <w:rFonts w:ascii="仿宋" w:eastAsia="仿宋" w:hAnsi="仿宋"/>
          <w:color w:val="404040"/>
          <w:sz w:val="32"/>
          <w:szCs w:val="32"/>
          <w:shd w:val="clear" w:color="auto" w:fill="FFFFFF"/>
        </w:rPr>
      </w:pPr>
      <w:r>
        <w:rPr>
          <w:rFonts w:ascii="仿宋" w:eastAsia="仿宋" w:hAnsi="仿宋" w:hint="eastAsia"/>
          <w:color w:val="404040"/>
          <w:sz w:val="32"/>
          <w:szCs w:val="32"/>
          <w:shd w:val="clear" w:color="auto" w:fill="FFFFFF"/>
        </w:rPr>
        <w:t>根据《行政事业性国有资产管理条例》《行政单位国有资产管理暂行办法》以及北京市财政局相关规定，制定了固定资产管理办法，规范和加强各处室资产管理工作，定期维</w:t>
      </w:r>
      <w:r>
        <w:rPr>
          <w:rFonts w:ascii="仿宋" w:eastAsia="仿宋" w:hAnsi="仿宋" w:hint="eastAsia"/>
          <w:color w:val="404040"/>
          <w:sz w:val="32"/>
          <w:szCs w:val="32"/>
          <w:shd w:val="clear" w:color="auto" w:fill="FFFFFF"/>
        </w:rPr>
        <w:lastRenderedPageBreak/>
        <w:t>护行政事业资产管理信息系统中的资产基础信息，每年进行资产盘点，摸清固定资产底数，做到账实相符，维护了国有资产的安全完整、合理配置和有效利用。</w:t>
      </w:r>
    </w:p>
    <w:p w14:paraId="1B7D1A36"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（三）绩效管理</w:t>
      </w:r>
    </w:p>
    <w:p w14:paraId="296350E0" w14:textId="23727930" w:rsidR="0084361C" w:rsidRDefault="00E17F86">
      <w:pPr>
        <w:spacing w:line="600" w:lineRule="exact"/>
        <w:ind w:firstLineChars="200" w:firstLine="640"/>
        <w:rPr>
          <w:rFonts w:ascii="仿宋" w:eastAsia="仿宋" w:hAnsi="仿宋"/>
          <w:color w:val="404040"/>
          <w:sz w:val="32"/>
          <w:szCs w:val="32"/>
          <w:shd w:val="clear" w:color="auto" w:fill="FFFFFF"/>
        </w:rPr>
      </w:pPr>
      <w:r w:rsidRPr="004E5BBE">
        <w:rPr>
          <w:rFonts w:ascii="仿宋" w:eastAsia="仿宋" w:hAnsi="仿宋" w:hint="eastAsia"/>
          <w:sz w:val="32"/>
          <w:szCs w:val="32"/>
          <w:shd w:val="clear" w:color="auto" w:fill="FFFFFF"/>
        </w:rPr>
        <w:t>根据北京市财政局的要求，202</w:t>
      </w:r>
      <w:r w:rsidR="004E5BBE" w:rsidRPr="004E5BBE">
        <w:rPr>
          <w:rFonts w:ascii="仿宋" w:eastAsia="仿宋" w:hAnsi="仿宋"/>
          <w:sz w:val="32"/>
          <w:szCs w:val="32"/>
          <w:shd w:val="clear" w:color="auto" w:fill="FFFFFF"/>
        </w:rPr>
        <w:t>5</w:t>
      </w:r>
      <w:r w:rsidRPr="004E5BBE">
        <w:rPr>
          <w:rFonts w:ascii="仿宋" w:eastAsia="仿宋" w:hAnsi="仿宋" w:hint="eastAsia"/>
          <w:sz w:val="32"/>
          <w:szCs w:val="32"/>
          <w:shd w:val="clear" w:color="auto" w:fill="FFFFFF"/>
        </w:rPr>
        <w:t>年度对纳入202</w:t>
      </w:r>
      <w:r w:rsidR="004E5BBE" w:rsidRPr="004E5BBE">
        <w:rPr>
          <w:rFonts w:ascii="仿宋" w:eastAsia="仿宋" w:hAnsi="仿宋"/>
          <w:sz w:val="32"/>
          <w:szCs w:val="32"/>
          <w:shd w:val="clear" w:color="auto" w:fill="FFFFFF"/>
        </w:rPr>
        <w:t>4</w:t>
      </w:r>
      <w:r w:rsidRPr="004E5BBE">
        <w:rPr>
          <w:rFonts w:ascii="仿宋" w:eastAsia="仿宋" w:hAnsi="仿宋" w:hint="eastAsia"/>
          <w:sz w:val="32"/>
          <w:szCs w:val="32"/>
          <w:shd w:val="clear" w:color="auto" w:fill="FFFFFF"/>
        </w:rPr>
        <w:t>年部门预算管理的所有填报绩效目标的项目开展绩效自评工作；对项目的绩效目标实现程度、项目预算资金拨款到位情况及</w:t>
      </w:r>
      <w:r>
        <w:rPr>
          <w:rFonts w:ascii="仿宋" w:eastAsia="仿宋" w:hAnsi="仿宋" w:hint="eastAsia"/>
          <w:color w:val="404040"/>
          <w:sz w:val="32"/>
          <w:szCs w:val="32"/>
          <w:shd w:val="clear" w:color="auto" w:fill="FFFFFF"/>
        </w:rPr>
        <w:t>预算执行情况，进行绩效监控，提高预算执行效力和项目资金使用效率。对偏离绩效目标项目和预期无效项目及时采取措施予以纠正。开展成本预算绩效分析，充分利用成本绩效分析形成的成果，强化支出标准对预算核定的约束作用。真正实现预算编制有目标、执行过程有监控、预算完成有评价，不断强化绩效理念并逐步融入预算编制、执行、公开全过程，将降成本、提效益的理念贯穿于各项工作当中。</w:t>
      </w:r>
    </w:p>
    <w:p w14:paraId="6222713F"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（四）结转结余率</w:t>
      </w:r>
    </w:p>
    <w:p w14:paraId="5E5F6FDA" w14:textId="602018C0" w:rsidR="0084361C" w:rsidRPr="003A59BD" w:rsidRDefault="00E17F86">
      <w:pPr>
        <w:spacing w:line="600" w:lineRule="exact"/>
        <w:ind w:firstLineChars="200" w:firstLine="640"/>
        <w:rPr>
          <w:rFonts w:ascii="仿宋" w:eastAsia="仿宋" w:hAnsi="仿宋"/>
          <w:sz w:val="32"/>
          <w:szCs w:val="32"/>
          <w:shd w:val="clear" w:color="auto" w:fill="FFFFFF"/>
        </w:rPr>
      </w:pPr>
      <w:r w:rsidRPr="003A59BD">
        <w:rPr>
          <w:rFonts w:ascii="仿宋" w:eastAsia="仿宋" w:hAnsi="仿宋" w:hint="eastAsia"/>
          <w:sz w:val="32"/>
          <w:szCs w:val="32"/>
          <w:shd w:val="clear" w:color="auto" w:fill="FFFFFF"/>
        </w:rPr>
        <w:t>202</w:t>
      </w:r>
      <w:r w:rsidR="00961782" w:rsidRPr="003A59BD">
        <w:rPr>
          <w:rFonts w:ascii="仿宋" w:eastAsia="仿宋" w:hAnsi="仿宋"/>
          <w:sz w:val="32"/>
          <w:szCs w:val="32"/>
          <w:shd w:val="clear" w:color="auto" w:fill="FFFFFF"/>
        </w:rPr>
        <w:t>4</w:t>
      </w:r>
      <w:r w:rsidRPr="003A59BD">
        <w:rPr>
          <w:rFonts w:ascii="仿宋" w:eastAsia="仿宋" w:hAnsi="仿宋" w:hint="eastAsia"/>
          <w:sz w:val="32"/>
          <w:szCs w:val="32"/>
          <w:shd w:val="clear" w:color="auto" w:fill="FFFFFF"/>
        </w:rPr>
        <w:t>年</w:t>
      </w:r>
      <w:r w:rsidR="008F6B95" w:rsidRPr="003A59BD">
        <w:rPr>
          <w:rFonts w:ascii="仿宋" w:eastAsia="仿宋" w:hAnsi="仿宋" w:hint="eastAsia"/>
          <w:sz w:val="32"/>
          <w:szCs w:val="32"/>
          <w:shd w:val="clear" w:color="auto" w:fill="FFFFFF"/>
        </w:rPr>
        <w:t>农工党</w:t>
      </w:r>
      <w:r w:rsidRPr="003A59BD">
        <w:rPr>
          <w:rFonts w:ascii="仿宋" w:eastAsia="仿宋" w:hAnsi="仿宋" w:hint="eastAsia"/>
          <w:sz w:val="32"/>
          <w:szCs w:val="32"/>
          <w:shd w:val="clear" w:color="auto" w:fill="FFFFFF"/>
        </w:rPr>
        <w:t>北京市委全年预算数为</w:t>
      </w:r>
      <w:r w:rsidR="005578D0" w:rsidRPr="003A59BD">
        <w:rPr>
          <w:rFonts w:ascii="仿宋" w:eastAsia="仿宋" w:hAnsi="仿宋" w:hint="eastAsia"/>
          <w:sz w:val="32"/>
          <w:szCs w:val="32"/>
          <w:shd w:val="clear" w:color="auto" w:fill="FFFFFF"/>
        </w:rPr>
        <w:t>1</w:t>
      </w:r>
      <w:r w:rsidR="00961782" w:rsidRPr="003A59BD">
        <w:rPr>
          <w:rFonts w:ascii="仿宋" w:eastAsia="仿宋" w:hAnsi="仿宋"/>
          <w:sz w:val="32"/>
          <w:szCs w:val="32"/>
          <w:shd w:val="clear" w:color="auto" w:fill="FFFFFF"/>
        </w:rPr>
        <w:t>662.18</w:t>
      </w:r>
      <w:r w:rsidRPr="003A59BD">
        <w:rPr>
          <w:rFonts w:ascii="仿宋" w:eastAsia="仿宋" w:hAnsi="仿宋" w:hint="eastAsia"/>
          <w:sz w:val="32"/>
          <w:szCs w:val="32"/>
          <w:shd w:val="clear" w:color="auto" w:fill="FFFFFF"/>
        </w:rPr>
        <w:t>元，年末结余结转金额为</w:t>
      </w:r>
      <w:r w:rsidR="00961782" w:rsidRPr="003A59BD">
        <w:rPr>
          <w:rFonts w:ascii="仿宋" w:eastAsia="仿宋" w:hAnsi="仿宋"/>
          <w:sz w:val="32"/>
          <w:szCs w:val="32"/>
          <w:shd w:val="clear" w:color="auto" w:fill="FFFFFF"/>
        </w:rPr>
        <w:t>34.13</w:t>
      </w:r>
      <w:r w:rsidRPr="003A59BD">
        <w:rPr>
          <w:rFonts w:ascii="仿宋" w:eastAsia="仿宋" w:hAnsi="仿宋" w:hint="eastAsia"/>
          <w:sz w:val="32"/>
          <w:szCs w:val="32"/>
          <w:shd w:val="clear" w:color="auto" w:fill="FFFFFF"/>
        </w:rPr>
        <w:t>万元，结余结转率</w:t>
      </w:r>
      <w:r w:rsidR="00961782" w:rsidRPr="003A59BD">
        <w:rPr>
          <w:rFonts w:ascii="仿宋" w:eastAsia="仿宋" w:hAnsi="仿宋"/>
          <w:sz w:val="32"/>
          <w:szCs w:val="32"/>
          <w:shd w:val="clear" w:color="auto" w:fill="FFFFFF"/>
        </w:rPr>
        <w:t>2.05</w:t>
      </w:r>
      <w:r w:rsidRPr="003A59BD">
        <w:rPr>
          <w:rFonts w:ascii="仿宋" w:eastAsia="仿宋" w:hAnsi="仿宋" w:hint="eastAsia"/>
          <w:sz w:val="32"/>
          <w:szCs w:val="32"/>
          <w:shd w:val="clear" w:color="auto" w:fill="FFFFFF"/>
        </w:rPr>
        <w:t>%。</w:t>
      </w:r>
    </w:p>
    <w:p w14:paraId="0E52E29A" w14:textId="77777777" w:rsidR="0084361C" w:rsidRPr="00321FF5" w:rsidRDefault="00E17F86">
      <w:pPr>
        <w:spacing w:line="600" w:lineRule="exact"/>
        <w:ind w:leftChars="50" w:left="105" w:firstLineChars="150" w:firstLine="480"/>
        <w:rPr>
          <w:rFonts w:ascii="楷体_GB2312" w:eastAsia="楷体_GB2312"/>
          <w:sz w:val="32"/>
          <w:szCs w:val="32"/>
        </w:rPr>
      </w:pPr>
      <w:r w:rsidRPr="00321FF5">
        <w:rPr>
          <w:rFonts w:ascii="楷体_GB2312" w:eastAsia="楷体_GB2312" w:hint="eastAsia"/>
          <w:sz w:val="32"/>
          <w:szCs w:val="32"/>
        </w:rPr>
        <w:t>（五）部门</w:t>
      </w:r>
      <w:r w:rsidRPr="00321FF5">
        <w:rPr>
          <w:rFonts w:ascii="楷体_GB2312" w:eastAsia="楷体_GB2312"/>
          <w:sz w:val="32"/>
          <w:szCs w:val="32"/>
        </w:rPr>
        <w:t>预决算差异率</w:t>
      </w:r>
    </w:p>
    <w:p w14:paraId="1CCBF0B5" w14:textId="71E1D2F0" w:rsidR="0084361C" w:rsidRPr="00321FF5" w:rsidRDefault="00E17F86">
      <w:pPr>
        <w:spacing w:line="600" w:lineRule="exact"/>
        <w:ind w:leftChars="50" w:left="105" w:firstLineChars="150" w:firstLine="480"/>
        <w:rPr>
          <w:rFonts w:ascii="仿宋" w:eastAsia="仿宋" w:hAnsi="仿宋"/>
          <w:sz w:val="32"/>
          <w:szCs w:val="32"/>
          <w:shd w:val="clear" w:color="auto" w:fill="FFFFFF"/>
        </w:rPr>
      </w:pPr>
      <w:r w:rsidRPr="00321FF5">
        <w:rPr>
          <w:rFonts w:ascii="仿宋" w:eastAsia="仿宋" w:hAnsi="仿宋" w:hint="eastAsia"/>
          <w:sz w:val="32"/>
          <w:szCs w:val="32"/>
          <w:shd w:val="clear" w:color="auto" w:fill="FFFFFF"/>
        </w:rPr>
        <w:t>202</w:t>
      </w:r>
      <w:r w:rsidR="00CF3651" w:rsidRPr="00321FF5">
        <w:rPr>
          <w:rFonts w:ascii="仿宋" w:eastAsia="仿宋" w:hAnsi="仿宋"/>
          <w:sz w:val="32"/>
          <w:szCs w:val="32"/>
          <w:shd w:val="clear" w:color="auto" w:fill="FFFFFF"/>
        </w:rPr>
        <w:t>4</w:t>
      </w:r>
      <w:r w:rsidRPr="00321FF5">
        <w:rPr>
          <w:rFonts w:ascii="仿宋" w:eastAsia="仿宋" w:hAnsi="仿宋" w:hint="eastAsia"/>
          <w:sz w:val="32"/>
          <w:szCs w:val="32"/>
          <w:shd w:val="clear" w:color="auto" w:fill="FFFFFF"/>
        </w:rPr>
        <w:t>年年初预算数为</w:t>
      </w:r>
      <w:r w:rsidR="00961782" w:rsidRPr="00321FF5">
        <w:rPr>
          <w:rFonts w:ascii="仿宋" w:eastAsia="仿宋" w:hAnsi="仿宋"/>
          <w:sz w:val="32"/>
          <w:szCs w:val="32"/>
          <w:shd w:val="clear" w:color="auto" w:fill="FFFFFF"/>
        </w:rPr>
        <w:t>1576.32</w:t>
      </w:r>
      <w:r w:rsidRPr="00321FF5">
        <w:rPr>
          <w:rFonts w:ascii="仿宋" w:eastAsia="仿宋" w:hAnsi="仿宋" w:hint="eastAsia"/>
          <w:sz w:val="32"/>
          <w:szCs w:val="32"/>
          <w:shd w:val="clear" w:color="auto" w:fill="FFFFFF"/>
        </w:rPr>
        <w:t>万元，决算数为</w:t>
      </w:r>
      <w:r w:rsidR="00CF3651" w:rsidRPr="00321FF5">
        <w:rPr>
          <w:rFonts w:ascii="仿宋" w:eastAsia="仿宋" w:hAnsi="仿宋"/>
          <w:sz w:val="32"/>
          <w:szCs w:val="32"/>
          <w:shd w:val="clear" w:color="auto" w:fill="FFFFFF"/>
        </w:rPr>
        <w:t>1628.05</w:t>
      </w:r>
      <w:r w:rsidRPr="00321FF5">
        <w:rPr>
          <w:rFonts w:ascii="仿宋" w:eastAsia="仿宋" w:hAnsi="仿宋" w:hint="eastAsia"/>
          <w:sz w:val="32"/>
          <w:szCs w:val="32"/>
          <w:shd w:val="clear" w:color="auto" w:fill="FFFFFF"/>
        </w:rPr>
        <w:t>万元，差额为</w:t>
      </w:r>
      <w:r w:rsidR="00961782" w:rsidRPr="00321FF5">
        <w:rPr>
          <w:rFonts w:ascii="仿宋" w:eastAsia="仿宋" w:hAnsi="仿宋"/>
          <w:sz w:val="32"/>
          <w:szCs w:val="32"/>
          <w:shd w:val="clear" w:color="auto" w:fill="FFFFFF"/>
        </w:rPr>
        <w:t>51.73</w:t>
      </w:r>
      <w:r w:rsidRPr="00321FF5">
        <w:rPr>
          <w:rFonts w:ascii="仿宋" w:eastAsia="仿宋" w:hAnsi="仿宋" w:hint="eastAsia"/>
          <w:sz w:val="32"/>
          <w:szCs w:val="32"/>
          <w:shd w:val="clear" w:color="auto" w:fill="FFFFFF"/>
        </w:rPr>
        <w:t>万元，部门预决算差异率</w:t>
      </w:r>
      <w:r w:rsidR="00961782" w:rsidRPr="00321FF5">
        <w:rPr>
          <w:rFonts w:ascii="仿宋" w:eastAsia="仿宋" w:hAnsi="仿宋"/>
          <w:sz w:val="32"/>
          <w:szCs w:val="32"/>
          <w:shd w:val="clear" w:color="auto" w:fill="FFFFFF"/>
        </w:rPr>
        <w:t>3.28</w:t>
      </w:r>
      <w:r w:rsidRPr="00321FF5">
        <w:rPr>
          <w:rFonts w:ascii="仿宋" w:eastAsia="仿宋" w:hAnsi="仿宋" w:hint="eastAsia"/>
          <w:sz w:val="32"/>
          <w:szCs w:val="32"/>
          <w:shd w:val="clear" w:color="auto" w:fill="FFFFFF"/>
        </w:rPr>
        <w:t>%，</w:t>
      </w:r>
      <w:r w:rsidR="00D03731" w:rsidRPr="00321FF5">
        <w:rPr>
          <w:rFonts w:ascii="仿宋" w:eastAsia="仿宋" w:hAnsi="仿宋" w:hint="eastAsia"/>
          <w:sz w:val="32"/>
          <w:szCs w:val="32"/>
          <w:shd w:val="clear" w:color="auto" w:fill="FFFFFF"/>
        </w:rPr>
        <w:t>低于市平均</w:t>
      </w:r>
      <w:r w:rsidR="009478AA" w:rsidRPr="00321FF5">
        <w:rPr>
          <w:rFonts w:ascii="仿宋" w:eastAsia="仿宋" w:hAnsi="仿宋" w:hint="eastAsia"/>
          <w:sz w:val="32"/>
          <w:szCs w:val="32"/>
          <w:shd w:val="clear" w:color="auto" w:fill="FFFFFF"/>
        </w:rPr>
        <w:t>差异率，</w:t>
      </w:r>
      <w:r w:rsidR="00961782" w:rsidRPr="00321FF5">
        <w:rPr>
          <w:rFonts w:ascii="仿宋" w:eastAsia="仿宋" w:hAnsi="仿宋" w:hint="eastAsia"/>
          <w:sz w:val="32"/>
          <w:szCs w:val="32"/>
          <w:shd w:val="clear" w:color="auto" w:fill="FFFFFF"/>
        </w:rPr>
        <w:t>说明</w:t>
      </w:r>
      <w:r w:rsidRPr="00321FF5">
        <w:rPr>
          <w:rFonts w:ascii="仿宋" w:eastAsia="仿宋" w:hAnsi="仿宋" w:hint="eastAsia"/>
          <w:sz w:val="32"/>
          <w:szCs w:val="32"/>
          <w:shd w:val="clear" w:color="auto" w:fill="FFFFFF"/>
        </w:rPr>
        <w:t>部门预决算差异率控制情况较好，预算管理水平不断提升。</w:t>
      </w:r>
    </w:p>
    <w:p w14:paraId="56DE2386" w14:textId="77777777" w:rsidR="0084361C" w:rsidRDefault="00E17F86">
      <w:pPr>
        <w:spacing w:line="600" w:lineRule="exact"/>
        <w:ind w:leftChars="50" w:left="105" w:firstLineChars="150" w:firstLine="480"/>
        <w:rPr>
          <w:rFonts w:ascii="黑体" w:eastAsia="黑体" w:hAnsi="黑体"/>
          <w:sz w:val="32"/>
          <w:szCs w:val="32"/>
        </w:rPr>
      </w:pPr>
      <w:r>
        <w:rPr>
          <w:rFonts w:ascii="黑体" w:eastAsia="黑体" w:hAnsi="黑体" w:hint="eastAsia"/>
          <w:sz w:val="32"/>
          <w:szCs w:val="32"/>
        </w:rPr>
        <w:t>五、总体</w:t>
      </w:r>
      <w:r>
        <w:rPr>
          <w:rFonts w:ascii="黑体" w:eastAsia="黑体" w:hAnsi="黑体"/>
          <w:sz w:val="32"/>
          <w:szCs w:val="32"/>
        </w:rPr>
        <w:t>评价结论</w:t>
      </w:r>
    </w:p>
    <w:p w14:paraId="2305A85E"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lastRenderedPageBreak/>
        <w:t>（一）评价</w:t>
      </w:r>
      <w:r>
        <w:rPr>
          <w:rFonts w:ascii="楷体_GB2312" w:eastAsia="楷体_GB2312"/>
          <w:sz w:val="32"/>
          <w:szCs w:val="32"/>
        </w:rPr>
        <w:t>得分</w:t>
      </w:r>
      <w:r>
        <w:rPr>
          <w:rFonts w:ascii="楷体_GB2312" w:eastAsia="楷体_GB2312" w:hint="eastAsia"/>
          <w:sz w:val="32"/>
          <w:szCs w:val="32"/>
        </w:rPr>
        <w:t>情况</w:t>
      </w:r>
    </w:p>
    <w:p w14:paraId="148C46E8" w14:textId="332B8A3C" w:rsidR="0084361C" w:rsidRPr="00F23539" w:rsidRDefault="00E17F86" w:rsidP="005578D0">
      <w:pPr>
        <w:spacing w:line="600" w:lineRule="exact"/>
        <w:ind w:firstLineChars="200" w:firstLine="640"/>
        <w:rPr>
          <w:rFonts w:ascii="楷体_GB2312" w:eastAsia="楷体_GB2312"/>
          <w:sz w:val="32"/>
          <w:szCs w:val="32"/>
        </w:rPr>
      </w:pPr>
      <w:r w:rsidRPr="00F23539">
        <w:rPr>
          <w:rFonts w:ascii="仿宋" w:eastAsia="仿宋" w:cs="仿宋_GB2312" w:hint="eastAsia"/>
          <w:sz w:val="32"/>
          <w:szCs w:val="32"/>
        </w:rPr>
        <w:t>202</w:t>
      </w:r>
      <w:r w:rsidR="004E5BBE" w:rsidRPr="00F23539">
        <w:rPr>
          <w:rFonts w:ascii="仿宋" w:eastAsia="仿宋" w:cs="仿宋_GB2312"/>
          <w:sz w:val="32"/>
          <w:szCs w:val="32"/>
        </w:rPr>
        <w:t>4</w:t>
      </w:r>
      <w:r w:rsidRPr="00F23539">
        <w:rPr>
          <w:rFonts w:ascii="仿宋" w:eastAsia="仿宋" w:cs="仿宋_GB2312" w:hint="eastAsia"/>
          <w:sz w:val="32"/>
          <w:szCs w:val="32"/>
        </w:rPr>
        <w:t>年整体绩效评价指标体系评分</w:t>
      </w:r>
      <w:r w:rsidR="00B16267">
        <w:rPr>
          <w:rFonts w:ascii="仿宋" w:eastAsia="仿宋" w:cs="仿宋_GB2312"/>
          <w:sz w:val="32"/>
          <w:szCs w:val="32"/>
        </w:rPr>
        <w:t>97.59</w:t>
      </w:r>
      <w:r w:rsidRPr="00F23539">
        <w:rPr>
          <w:rFonts w:ascii="仿宋" w:eastAsia="仿宋" w:cs="仿宋_GB2312" w:hint="eastAsia"/>
          <w:sz w:val="32"/>
          <w:szCs w:val="32"/>
        </w:rPr>
        <w:t>分，其中当年预算执行情况19.</w:t>
      </w:r>
      <w:r w:rsidR="00321FF5" w:rsidRPr="00F23539">
        <w:rPr>
          <w:rFonts w:ascii="仿宋" w:eastAsia="仿宋" w:cs="仿宋_GB2312"/>
          <w:sz w:val="32"/>
          <w:szCs w:val="32"/>
        </w:rPr>
        <w:t>59</w:t>
      </w:r>
      <w:r w:rsidRPr="00F23539">
        <w:rPr>
          <w:rFonts w:ascii="仿宋" w:eastAsia="仿宋" w:cs="仿宋_GB2312" w:hint="eastAsia"/>
          <w:sz w:val="32"/>
          <w:szCs w:val="32"/>
        </w:rPr>
        <w:t>分，整体绩效目标实现情况</w:t>
      </w:r>
      <w:r w:rsidR="00B16267">
        <w:rPr>
          <w:rFonts w:ascii="仿宋" w:eastAsia="仿宋" w:cs="仿宋_GB2312"/>
          <w:sz w:val="32"/>
          <w:szCs w:val="32"/>
        </w:rPr>
        <w:t>58</w:t>
      </w:r>
      <w:r w:rsidRPr="00F23539">
        <w:rPr>
          <w:rFonts w:ascii="仿宋" w:eastAsia="仿宋" w:cs="仿宋_GB2312" w:hint="eastAsia"/>
          <w:sz w:val="32"/>
          <w:szCs w:val="32"/>
        </w:rPr>
        <w:t>分，预算管理情况</w:t>
      </w:r>
      <w:r w:rsidR="00B16267">
        <w:rPr>
          <w:rFonts w:ascii="仿宋" w:eastAsia="仿宋" w:cs="仿宋_GB2312"/>
          <w:sz w:val="32"/>
          <w:szCs w:val="32"/>
        </w:rPr>
        <w:t>20</w:t>
      </w:r>
      <w:r w:rsidRPr="00F23539">
        <w:rPr>
          <w:rFonts w:ascii="仿宋" w:eastAsia="仿宋" w:cs="仿宋_GB2312" w:hint="eastAsia"/>
          <w:sz w:val="32"/>
          <w:szCs w:val="32"/>
        </w:rPr>
        <w:t>分。</w:t>
      </w:r>
    </w:p>
    <w:p w14:paraId="6488EB73" w14:textId="77777777" w:rsidR="0084361C" w:rsidRDefault="00E17F86">
      <w:pPr>
        <w:spacing w:line="600" w:lineRule="exact"/>
        <w:ind w:leftChars="50" w:left="105" w:firstLineChars="150" w:firstLine="480"/>
        <w:rPr>
          <w:rFonts w:ascii="楷体_GB2312" w:eastAsia="楷体_GB2312"/>
          <w:sz w:val="32"/>
          <w:szCs w:val="32"/>
        </w:rPr>
      </w:pPr>
      <w:r>
        <w:rPr>
          <w:rFonts w:ascii="楷体_GB2312" w:eastAsia="楷体_GB2312" w:hint="eastAsia"/>
          <w:sz w:val="32"/>
          <w:szCs w:val="32"/>
        </w:rPr>
        <w:t>（二）存在的问题及原因分析</w:t>
      </w:r>
    </w:p>
    <w:p w14:paraId="570CC057" w14:textId="0E483712" w:rsidR="00F23539" w:rsidRPr="00F23539" w:rsidRDefault="00F23539" w:rsidP="00F23539">
      <w:pPr>
        <w:spacing w:line="600" w:lineRule="exact"/>
        <w:ind w:firstLineChars="200" w:firstLine="640"/>
        <w:rPr>
          <w:rFonts w:ascii="仿宋" w:eastAsia="仿宋" w:cs="仿宋_GB2312"/>
          <w:sz w:val="32"/>
          <w:szCs w:val="32"/>
        </w:rPr>
      </w:pPr>
      <w:r w:rsidRPr="00F23539">
        <w:rPr>
          <w:rFonts w:ascii="仿宋" w:eastAsia="仿宋" w:cs="仿宋_GB2312" w:hint="eastAsia"/>
          <w:sz w:val="32"/>
          <w:szCs w:val="32"/>
        </w:rPr>
        <w:t>1.项目绩效评价指标体系有待进一步优化。项目绩效评价涉及社会服务、后备骨干培训班、宣传思想、重点调研课题等多个领域，各项目之间任务、功能、特点、周期均存在一定差异，其评价指标体系也需要对应进行合理化设置和调整，确保评价指标体系科学、合理。</w:t>
      </w:r>
    </w:p>
    <w:p w14:paraId="1F3B9D74" w14:textId="77777777" w:rsidR="00F23539" w:rsidRPr="00F23539" w:rsidRDefault="00F23539" w:rsidP="00F23539">
      <w:pPr>
        <w:spacing w:line="600" w:lineRule="exact"/>
        <w:ind w:firstLineChars="200" w:firstLine="640"/>
        <w:rPr>
          <w:rFonts w:ascii="仿宋" w:eastAsia="仿宋" w:cs="仿宋_GB2312"/>
          <w:sz w:val="32"/>
          <w:szCs w:val="32"/>
        </w:rPr>
      </w:pPr>
      <w:r w:rsidRPr="00F23539">
        <w:rPr>
          <w:rFonts w:ascii="仿宋" w:eastAsia="仿宋" w:cs="仿宋_GB2312" w:hint="eastAsia"/>
          <w:sz w:val="32"/>
          <w:szCs w:val="32"/>
        </w:rPr>
        <w:t>2.服务对象满意度资料有待进一步完善。服务对象满意度评价是衡量各个项目绩效目标达成情况的一个关键指标，应予以重视，设置科学、合理的满意度评价指标体系，量化服务对象对项目运作过程中不同阶段、版块的评价，为后续持续提升项目质量提供数据支撑和改进方向。</w:t>
      </w:r>
    </w:p>
    <w:p w14:paraId="49969BE2" w14:textId="65DDAFB3" w:rsidR="0084361C" w:rsidRDefault="00E17F86">
      <w:pPr>
        <w:spacing w:line="600" w:lineRule="exact"/>
        <w:ind w:firstLineChars="200" w:firstLine="64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六、措施建议</w:t>
      </w:r>
    </w:p>
    <w:p w14:paraId="50887D6D" w14:textId="0CF0E92E" w:rsidR="00F23539" w:rsidRPr="00F23539" w:rsidRDefault="00F23539" w:rsidP="00F23539">
      <w:pPr>
        <w:spacing w:line="600" w:lineRule="exact"/>
        <w:ind w:firstLineChars="200" w:firstLine="640"/>
        <w:rPr>
          <w:rFonts w:ascii="仿宋" w:eastAsia="仿宋" w:cs="仿宋_GB2312"/>
          <w:sz w:val="32"/>
          <w:szCs w:val="32"/>
        </w:rPr>
      </w:pPr>
      <w:bookmarkStart w:id="0" w:name="_Toc103006301"/>
      <w:r w:rsidRPr="00F23539">
        <w:rPr>
          <w:rFonts w:ascii="仿宋" w:eastAsia="仿宋" w:cs="仿宋_GB2312" w:hint="eastAsia"/>
          <w:sz w:val="32"/>
          <w:szCs w:val="32"/>
        </w:rPr>
        <w:t>1.进一步优化项目绩效评价指标体系。一是根据项目类别和项目预算资金使用实际情况进行科学评估，明确不同类别项目绩效考核的重点方向。二是结合各项目过往运作经验，合理制定绩效评价考核目标，确保绩效目标的科学性、合理性、可落地性和可持续性</w:t>
      </w:r>
    </w:p>
    <w:p w14:paraId="1F409DC2" w14:textId="3801F42F" w:rsidR="00F23539" w:rsidRPr="00F23539" w:rsidRDefault="00F23539" w:rsidP="00F23539">
      <w:pPr>
        <w:spacing w:line="600" w:lineRule="exact"/>
        <w:ind w:firstLineChars="200" w:firstLine="640"/>
        <w:rPr>
          <w:rFonts w:ascii="仿宋" w:eastAsia="仿宋" w:cs="仿宋_GB2312"/>
          <w:sz w:val="32"/>
          <w:szCs w:val="32"/>
        </w:rPr>
      </w:pPr>
      <w:r w:rsidRPr="00F23539">
        <w:rPr>
          <w:rFonts w:ascii="仿宋" w:eastAsia="仿宋" w:cs="仿宋_GB2312" w:hint="eastAsia"/>
          <w:sz w:val="32"/>
          <w:szCs w:val="32"/>
        </w:rPr>
        <w:t>2.持续完善服务对象满意度评价工作。一是建立健全各项目服务对象满意度评价指标体系，搭建适用于各项目的服</w:t>
      </w:r>
      <w:r w:rsidRPr="00F23539">
        <w:rPr>
          <w:rFonts w:ascii="仿宋" w:eastAsia="仿宋" w:cs="仿宋_GB2312" w:hint="eastAsia"/>
          <w:sz w:val="32"/>
          <w:szCs w:val="32"/>
        </w:rPr>
        <w:lastRenderedPageBreak/>
        <w:t>务对象满意度评价指标体系框架，并根据不同项目实际情况设计细项指标，确保评价指标可量化、有针对性。二是做好满意度评价工作过程管理，各项目开展过程中，应提前规划满意度评价工作开展时间、频次、对象、内容等，并按照计划有序推进，同时做好满意度数据回收管理，提高评价数据采集的规范化程度。</w:t>
      </w:r>
    </w:p>
    <w:p w14:paraId="098BC000" w14:textId="77777777" w:rsidR="0084361C" w:rsidRDefault="00E17F86">
      <w:pPr>
        <w:pStyle w:val="1"/>
        <w:rPr>
          <w:sz w:val="32"/>
          <w:szCs w:val="32"/>
        </w:rPr>
      </w:pPr>
      <w:r>
        <w:rPr>
          <w:rFonts w:hint="eastAsia"/>
          <w:sz w:val="32"/>
          <w:szCs w:val="32"/>
        </w:rPr>
        <w:t>七、附件</w:t>
      </w:r>
      <w:bookmarkEnd w:id="0"/>
    </w:p>
    <w:p w14:paraId="51516863" w14:textId="04B161A4" w:rsidR="0084361C" w:rsidRDefault="00E17F86">
      <w:pPr>
        <w:spacing w:line="600" w:lineRule="exact"/>
        <w:ind w:firstLine="641"/>
        <w:rPr>
          <w:rFonts w:ascii="仿宋_GB2312" w:eastAsia="仿宋_GB2312" w:hAnsi="仿宋_GB2312" w:cs="仿宋_GB2312"/>
          <w:sz w:val="32"/>
          <w:szCs w:val="32"/>
        </w:rPr>
        <w:sectPr w:rsidR="0084361C">
          <w:headerReference w:type="default" r:id="rId6"/>
          <w:footerReference w:type="default" r:id="rId7"/>
          <w:pgSz w:w="11906" w:h="16838"/>
          <w:pgMar w:top="1440" w:right="1800" w:bottom="1440" w:left="1800" w:header="851" w:footer="964" w:gutter="0"/>
          <w:pgNumType w:start="1"/>
          <w:cols w:space="425"/>
          <w:docGrid w:type="lines" w:linePitch="435"/>
        </w:sectPr>
      </w:pPr>
      <w:r>
        <w:rPr>
          <w:rFonts w:ascii="仿宋_GB2312" w:eastAsia="仿宋_GB2312" w:hAnsi="仿宋_GB2312" w:cs="仿宋_GB2312" w:hint="eastAsia"/>
          <w:sz w:val="32"/>
          <w:szCs w:val="32"/>
        </w:rPr>
        <w:t>202</w:t>
      </w:r>
      <w:r w:rsidR="00D31C89">
        <w:rPr>
          <w:rFonts w:ascii="仿宋_GB2312" w:eastAsia="仿宋_GB2312" w:hAnsi="仿宋_GB2312" w:cs="仿宋_GB2312"/>
          <w:sz w:val="32"/>
          <w:szCs w:val="32"/>
        </w:rPr>
        <w:t>4</w:t>
      </w:r>
      <w:r>
        <w:rPr>
          <w:rFonts w:ascii="仿宋_GB2312" w:eastAsia="仿宋_GB2312" w:hAnsi="仿宋_GB2312" w:cs="仿宋_GB2312" w:hint="eastAsia"/>
          <w:sz w:val="32"/>
          <w:szCs w:val="32"/>
        </w:rPr>
        <w:t>年部门整体绩效评价指标体系评分表</w:t>
      </w:r>
    </w:p>
    <w:p w14:paraId="3B1E7422" w14:textId="77777777" w:rsidR="0084361C" w:rsidRDefault="00E17F86">
      <w:pPr>
        <w:spacing w:line="560" w:lineRule="exact"/>
        <w:jc w:val="left"/>
        <w:rPr>
          <w:rFonts w:ascii="方正黑体_GBK" w:eastAsia="方正黑体_GBK" w:hAnsi="方正黑体_GBK" w:cs="方正黑体_GBK"/>
          <w:sz w:val="32"/>
        </w:rPr>
      </w:pPr>
      <w:r>
        <w:rPr>
          <w:rFonts w:ascii="方正黑体_GBK" w:eastAsia="方正黑体_GBK" w:hAnsi="方正黑体_GBK" w:cs="方正黑体_GBK" w:hint="eastAsia"/>
          <w:sz w:val="32"/>
        </w:rPr>
        <w:lastRenderedPageBreak/>
        <w:t>附件4-1</w:t>
      </w:r>
      <w:bookmarkStart w:id="1" w:name="_GoBack"/>
      <w:bookmarkEnd w:id="1"/>
    </w:p>
    <w:p w14:paraId="380196BC" w14:textId="77777777" w:rsidR="0084361C" w:rsidRDefault="0084361C">
      <w:pPr>
        <w:spacing w:line="20" w:lineRule="exact"/>
        <w:rPr>
          <w:rFonts w:ascii="方正小标宋简体" w:eastAsia="方正小标宋简体"/>
          <w:sz w:val="36"/>
          <w:szCs w:val="36"/>
        </w:rPr>
      </w:pPr>
    </w:p>
    <w:tbl>
      <w:tblPr>
        <w:tblW w:w="8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2"/>
        <w:gridCol w:w="918"/>
        <w:gridCol w:w="1417"/>
        <w:gridCol w:w="1306"/>
        <w:gridCol w:w="1330"/>
        <w:gridCol w:w="908"/>
        <w:gridCol w:w="881"/>
      </w:tblGrid>
      <w:tr w:rsidR="00E81271" w14:paraId="4DF7BFFD" w14:textId="77777777" w:rsidTr="00E81271">
        <w:trPr>
          <w:trHeight w:val="23"/>
          <w:jc w:val="center"/>
        </w:trPr>
        <w:tc>
          <w:tcPr>
            <w:tcW w:w="8482" w:type="dxa"/>
            <w:gridSpan w:val="7"/>
            <w:tcBorders>
              <w:tl2br w:val="nil"/>
              <w:tr2bl w:val="nil"/>
            </w:tcBorders>
            <w:vAlign w:val="center"/>
          </w:tcPr>
          <w:p w14:paraId="7FF5EE8F" w14:textId="5BF460AA" w:rsidR="00E81271" w:rsidRPr="00E81271" w:rsidRDefault="00E81271" w:rsidP="00DC1C9C">
            <w:pPr>
              <w:widowControl/>
              <w:spacing w:line="340" w:lineRule="exact"/>
              <w:jc w:val="left"/>
              <w:rPr>
                <w:rFonts w:ascii="仿宋" w:eastAsia="仿宋" w:hAnsi="仿宋" w:cs="仿宋"/>
                <w:b/>
                <w:bCs/>
                <w:kern w:val="0"/>
                <w:sz w:val="18"/>
                <w:szCs w:val="18"/>
              </w:rPr>
            </w:pPr>
            <w:r>
              <w:rPr>
                <w:rFonts w:ascii="仿宋" w:eastAsia="仿宋" w:hAnsi="仿宋" w:cs="仿宋" w:hint="eastAsia"/>
                <w:b/>
                <w:bCs/>
                <w:kern w:val="0"/>
                <w:sz w:val="18"/>
                <w:szCs w:val="18"/>
              </w:rPr>
              <w:t>一、</w:t>
            </w:r>
            <w:r>
              <w:rPr>
                <w:rFonts w:ascii="仿宋" w:eastAsia="仿宋" w:hAnsi="仿宋" w:cs="仿宋" w:hint="eastAsia"/>
                <w:b/>
                <w:bCs/>
                <w:kern w:val="0"/>
                <w:sz w:val="20"/>
                <w:szCs w:val="20"/>
              </w:rPr>
              <w:t>当年预算执行情况（20分）</w:t>
            </w:r>
          </w:p>
        </w:tc>
      </w:tr>
      <w:tr w:rsidR="00E81271" w14:paraId="459AD706" w14:textId="77777777" w:rsidTr="00E81271">
        <w:trPr>
          <w:trHeight w:val="23"/>
          <w:jc w:val="center"/>
        </w:trPr>
        <w:tc>
          <w:tcPr>
            <w:tcW w:w="1722" w:type="dxa"/>
            <w:tcBorders>
              <w:tl2br w:val="nil"/>
              <w:tr2bl w:val="nil"/>
            </w:tcBorders>
            <w:vAlign w:val="center"/>
          </w:tcPr>
          <w:p w14:paraId="348D22B4"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一级</w:t>
            </w:r>
          </w:p>
          <w:p w14:paraId="25792C68"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指标</w:t>
            </w:r>
          </w:p>
        </w:tc>
        <w:tc>
          <w:tcPr>
            <w:tcW w:w="918" w:type="dxa"/>
            <w:tcBorders>
              <w:tl2br w:val="nil"/>
              <w:tr2bl w:val="nil"/>
            </w:tcBorders>
            <w:vAlign w:val="center"/>
          </w:tcPr>
          <w:p w14:paraId="34A96387"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二级</w:t>
            </w:r>
          </w:p>
          <w:p w14:paraId="615C1266"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指标</w:t>
            </w:r>
          </w:p>
        </w:tc>
        <w:tc>
          <w:tcPr>
            <w:tcW w:w="1417" w:type="dxa"/>
            <w:tcBorders>
              <w:tl2br w:val="nil"/>
              <w:tr2bl w:val="nil"/>
            </w:tcBorders>
            <w:vAlign w:val="center"/>
          </w:tcPr>
          <w:p w14:paraId="243AC386"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预算数</w:t>
            </w:r>
          </w:p>
          <w:p w14:paraId="7D6BB7CE"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（万元）</w:t>
            </w:r>
          </w:p>
        </w:tc>
        <w:tc>
          <w:tcPr>
            <w:tcW w:w="1306" w:type="dxa"/>
            <w:tcBorders>
              <w:tl2br w:val="nil"/>
              <w:tr2bl w:val="nil"/>
            </w:tcBorders>
            <w:vAlign w:val="center"/>
          </w:tcPr>
          <w:p w14:paraId="287748A8"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执行数</w:t>
            </w:r>
          </w:p>
          <w:p w14:paraId="032B2163"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（万元）</w:t>
            </w:r>
          </w:p>
        </w:tc>
        <w:tc>
          <w:tcPr>
            <w:tcW w:w="1330" w:type="dxa"/>
            <w:tcBorders>
              <w:tl2br w:val="nil"/>
              <w:tr2bl w:val="nil"/>
            </w:tcBorders>
            <w:vAlign w:val="center"/>
          </w:tcPr>
          <w:p w14:paraId="28AC89F7"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预算</w:t>
            </w:r>
          </w:p>
          <w:p w14:paraId="7E3588A5"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执行率</w:t>
            </w:r>
          </w:p>
        </w:tc>
        <w:tc>
          <w:tcPr>
            <w:tcW w:w="908" w:type="dxa"/>
            <w:tcBorders>
              <w:tl2br w:val="nil"/>
              <w:tr2bl w:val="nil"/>
            </w:tcBorders>
            <w:vAlign w:val="center"/>
          </w:tcPr>
          <w:p w14:paraId="66C81075"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分值</w:t>
            </w:r>
          </w:p>
        </w:tc>
        <w:tc>
          <w:tcPr>
            <w:tcW w:w="881" w:type="dxa"/>
            <w:tcBorders>
              <w:tl2br w:val="nil"/>
              <w:tr2bl w:val="nil"/>
            </w:tcBorders>
            <w:vAlign w:val="center"/>
          </w:tcPr>
          <w:p w14:paraId="242C55B6"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得分</w:t>
            </w:r>
          </w:p>
        </w:tc>
      </w:tr>
      <w:tr w:rsidR="00E81271" w14:paraId="59B41BD8" w14:textId="77777777" w:rsidTr="00E81271">
        <w:trPr>
          <w:trHeight w:val="23"/>
          <w:jc w:val="center"/>
        </w:trPr>
        <w:tc>
          <w:tcPr>
            <w:tcW w:w="1722" w:type="dxa"/>
            <w:vMerge w:val="restart"/>
            <w:tcBorders>
              <w:tl2br w:val="nil"/>
              <w:tr2bl w:val="nil"/>
            </w:tcBorders>
            <w:vAlign w:val="center"/>
          </w:tcPr>
          <w:p w14:paraId="6037E6B5"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当年预算执行情况（20）</w:t>
            </w:r>
          </w:p>
        </w:tc>
        <w:tc>
          <w:tcPr>
            <w:tcW w:w="918" w:type="dxa"/>
            <w:tcBorders>
              <w:tl2br w:val="nil"/>
              <w:tr2bl w:val="nil"/>
            </w:tcBorders>
            <w:vAlign w:val="center"/>
          </w:tcPr>
          <w:p w14:paraId="5B9A8C50"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资金</w:t>
            </w:r>
          </w:p>
          <w:p w14:paraId="5305BBBE"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总体</w:t>
            </w:r>
          </w:p>
        </w:tc>
        <w:tc>
          <w:tcPr>
            <w:tcW w:w="1417" w:type="dxa"/>
            <w:tcBorders>
              <w:tl2br w:val="nil"/>
              <w:tr2bl w:val="nil"/>
            </w:tcBorders>
            <w:tcMar>
              <w:top w:w="0" w:type="dxa"/>
              <w:left w:w="11" w:type="dxa"/>
              <w:bottom w:w="0" w:type="dxa"/>
              <w:right w:w="11" w:type="dxa"/>
            </w:tcMar>
            <w:vAlign w:val="center"/>
          </w:tcPr>
          <w:p w14:paraId="1E004A55" w14:textId="48CE1968"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1662.18</w:t>
            </w:r>
          </w:p>
        </w:tc>
        <w:tc>
          <w:tcPr>
            <w:tcW w:w="1306" w:type="dxa"/>
            <w:tcBorders>
              <w:tl2br w:val="nil"/>
              <w:tr2bl w:val="nil"/>
            </w:tcBorders>
            <w:tcMar>
              <w:top w:w="0" w:type="dxa"/>
              <w:left w:w="11" w:type="dxa"/>
              <w:bottom w:w="0" w:type="dxa"/>
              <w:right w:w="11" w:type="dxa"/>
            </w:tcMar>
            <w:vAlign w:val="center"/>
          </w:tcPr>
          <w:p w14:paraId="0C305E59" w14:textId="21146ADB"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w:t>
            </w:r>
            <w:r>
              <w:rPr>
                <w:rFonts w:ascii="仿宋" w:eastAsia="仿宋" w:hAnsi="仿宋" w:cs="仿宋"/>
                <w:kern w:val="0"/>
                <w:sz w:val="20"/>
                <w:szCs w:val="20"/>
              </w:rPr>
              <w:t>628.05</w:t>
            </w:r>
          </w:p>
        </w:tc>
        <w:tc>
          <w:tcPr>
            <w:tcW w:w="1330" w:type="dxa"/>
            <w:tcBorders>
              <w:tl2br w:val="nil"/>
              <w:tr2bl w:val="nil"/>
            </w:tcBorders>
            <w:vAlign w:val="center"/>
          </w:tcPr>
          <w:p w14:paraId="36A02A0A" w14:textId="007EF6D1" w:rsidR="00E81271" w:rsidRDefault="00E81271" w:rsidP="00DC1C9C">
            <w:pPr>
              <w:widowControl/>
              <w:spacing w:line="340" w:lineRule="exact"/>
              <w:jc w:val="center"/>
              <w:rPr>
                <w:rFonts w:ascii="仿宋" w:eastAsia="仿宋" w:hAnsi="仿宋" w:cs="仿宋"/>
                <w:color w:val="FF0000"/>
                <w:kern w:val="0"/>
                <w:sz w:val="20"/>
                <w:szCs w:val="20"/>
              </w:rPr>
            </w:pPr>
            <w:r>
              <w:rPr>
                <w:rFonts w:ascii="仿宋" w:eastAsia="仿宋" w:hAnsi="仿宋" w:cs="仿宋" w:hint="eastAsia"/>
                <w:kern w:val="0"/>
                <w:sz w:val="20"/>
                <w:szCs w:val="20"/>
              </w:rPr>
              <w:t>9</w:t>
            </w:r>
            <w:r>
              <w:rPr>
                <w:rFonts w:ascii="仿宋" w:eastAsia="仿宋" w:hAnsi="仿宋" w:cs="仿宋"/>
                <w:kern w:val="0"/>
                <w:sz w:val="20"/>
                <w:szCs w:val="20"/>
              </w:rPr>
              <w:t>7.95</w:t>
            </w:r>
            <w:r>
              <w:rPr>
                <w:rFonts w:ascii="仿宋" w:eastAsia="仿宋" w:hAnsi="仿宋" w:cs="仿宋" w:hint="eastAsia"/>
                <w:kern w:val="0"/>
                <w:sz w:val="20"/>
                <w:szCs w:val="20"/>
              </w:rPr>
              <w:t>%</w:t>
            </w:r>
          </w:p>
        </w:tc>
        <w:tc>
          <w:tcPr>
            <w:tcW w:w="908" w:type="dxa"/>
            <w:vMerge w:val="restart"/>
            <w:tcBorders>
              <w:tl2br w:val="nil"/>
              <w:tr2bl w:val="nil"/>
            </w:tcBorders>
            <w:noWrap/>
            <w:vAlign w:val="center"/>
          </w:tcPr>
          <w:p w14:paraId="397993D4"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20</w:t>
            </w:r>
          </w:p>
        </w:tc>
        <w:tc>
          <w:tcPr>
            <w:tcW w:w="881" w:type="dxa"/>
            <w:vMerge w:val="restart"/>
            <w:tcBorders>
              <w:tl2br w:val="nil"/>
              <w:tr2bl w:val="nil"/>
            </w:tcBorders>
            <w:noWrap/>
            <w:vAlign w:val="center"/>
          </w:tcPr>
          <w:p w14:paraId="08290FD3" w14:textId="637DDDA8"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19.59</w:t>
            </w:r>
          </w:p>
        </w:tc>
      </w:tr>
      <w:tr w:rsidR="00E81271" w14:paraId="119D1295" w14:textId="77777777" w:rsidTr="00E81271">
        <w:trPr>
          <w:trHeight w:val="23"/>
          <w:jc w:val="center"/>
        </w:trPr>
        <w:tc>
          <w:tcPr>
            <w:tcW w:w="1722" w:type="dxa"/>
            <w:vMerge/>
            <w:tcBorders>
              <w:tl2br w:val="nil"/>
              <w:tr2bl w:val="nil"/>
            </w:tcBorders>
            <w:vAlign w:val="center"/>
          </w:tcPr>
          <w:p w14:paraId="6D9D17A4"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tcBorders>
              <w:tl2br w:val="nil"/>
              <w:tr2bl w:val="nil"/>
            </w:tcBorders>
            <w:vAlign w:val="center"/>
          </w:tcPr>
          <w:p w14:paraId="3EA0D72E"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基本</w:t>
            </w:r>
          </w:p>
          <w:p w14:paraId="3B6BC911"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支出</w:t>
            </w:r>
          </w:p>
        </w:tc>
        <w:tc>
          <w:tcPr>
            <w:tcW w:w="1417" w:type="dxa"/>
            <w:tcBorders>
              <w:tl2br w:val="nil"/>
              <w:tr2bl w:val="nil"/>
            </w:tcBorders>
            <w:tcMar>
              <w:top w:w="0" w:type="dxa"/>
              <w:left w:w="11" w:type="dxa"/>
              <w:bottom w:w="0" w:type="dxa"/>
              <w:right w:w="11" w:type="dxa"/>
            </w:tcMar>
            <w:vAlign w:val="center"/>
          </w:tcPr>
          <w:p w14:paraId="310D6459" w14:textId="1CF27FA0"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1408.03</w:t>
            </w:r>
          </w:p>
        </w:tc>
        <w:tc>
          <w:tcPr>
            <w:tcW w:w="1306" w:type="dxa"/>
            <w:tcBorders>
              <w:tl2br w:val="nil"/>
              <w:tr2bl w:val="nil"/>
            </w:tcBorders>
            <w:tcMar>
              <w:top w:w="0" w:type="dxa"/>
              <w:left w:w="11" w:type="dxa"/>
              <w:bottom w:w="0" w:type="dxa"/>
              <w:right w:w="11" w:type="dxa"/>
            </w:tcMar>
            <w:vAlign w:val="center"/>
          </w:tcPr>
          <w:p w14:paraId="69CF75A2" w14:textId="2F72F394"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13</w:t>
            </w:r>
            <w:r>
              <w:rPr>
                <w:rFonts w:ascii="仿宋" w:eastAsia="仿宋" w:hAnsi="仿宋" w:cs="仿宋"/>
                <w:kern w:val="0"/>
                <w:sz w:val="20"/>
                <w:szCs w:val="20"/>
              </w:rPr>
              <w:t>84.20</w:t>
            </w:r>
          </w:p>
        </w:tc>
        <w:tc>
          <w:tcPr>
            <w:tcW w:w="1330" w:type="dxa"/>
            <w:vMerge w:val="restart"/>
            <w:tcBorders>
              <w:tl2br w:val="nil"/>
              <w:tr2bl w:val="nil"/>
            </w:tcBorders>
            <w:vAlign w:val="center"/>
          </w:tcPr>
          <w:p w14:paraId="56E0B6BF"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w:t>
            </w:r>
          </w:p>
        </w:tc>
        <w:tc>
          <w:tcPr>
            <w:tcW w:w="908" w:type="dxa"/>
            <w:vMerge/>
            <w:tcBorders>
              <w:tl2br w:val="nil"/>
              <w:tr2bl w:val="nil"/>
            </w:tcBorders>
            <w:vAlign w:val="center"/>
          </w:tcPr>
          <w:p w14:paraId="05CF90A3" w14:textId="77777777" w:rsidR="00E81271" w:rsidRDefault="00E81271" w:rsidP="00DC1C9C">
            <w:pPr>
              <w:widowControl/>
              <w:spacing w:line="340" w:lineRule="exact"/>
              <w:jc w:val="left"/>
              <w:rPr>
                <w:rFonts w:ascii="仿宋" w:eastAsia="仿宋" w:hAnsi="仿宋" w:cs="仿宋"/>
                <w:kern w:val="0"/>
                <w:sz w:val="20"/>
                <w:szCs w:val="20"/>
              </w:rPr>
            </w:pPr>
          </w:p>
        </w:tc>
        <w:tc>
          <w:tcPr>
            <w:tcW w:w="881" w:type="dxa"/>
            <w:vMerge/>
            <w:tcBorders>
              <w:tl2br w:val="nil"/>
              <w:tr2bl w:val="nil"/>
            </w:tcBorders>
            <w:vAlign w:val="center"/>
          </w:tcPr>
          <w:p w14:paraId="06EC6920" w14:textId="77777777" w:rsidR="00E81271" w:rsidRDefault="00E81271" w:rsidP="00DC1C9C">
            <w:pPr>
              <w:widowControl/>
              <w:spacing w:line="340" w:lineRule="exact"/>
              <w:jc w:val="left"/>
              <w:rPr>
                <w:rFonts w:ascii="仿宋" w:eastAsia="仿宋" w:hAnsi="仿宋" w:cs="仿宋"/>
                <w:kern w:val="0"/>
                <w:sz w:val="20"/>
                <w:szCs w:val="20"/>
              </w:rPr>
            </w:pPr>
          </w:p>
        </w:tc>
      </w:tr>
      <w:tr w:rsidR="00E81271" w14:paraId="38D21E3F" w14:textId="77777777" w:rsidTr="00E81271">
        <w:trPr>
          <w:trHeight w:val="23"/>
          <w:jc w:val="center"/>
        </w:trPr>
        <w:tc>
          <w:tcPr>
            <w:tcW w:w="1722" w:type="dxa"/>
            <w:vMerge/>
            <w:tcBorders>
              <w:tl2br w:val="nil"/>
              <w:tr2bl w:val="nil"/>
            </w:tcBorders>
            <w:vAlign w:val="center"/>
          </w:tcPr>
          <w:p w14:paraId="51DE8DEF"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tcBorders>
              <w:tl2br w:val="nil"/>
              <w:tr2bl w:val="nil"/>
            </w:tcBorders>
            <w:vAlign w:val="center"/>
          </w:tcPr>
          <w:p w14:paraId="61F7DF51"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项目</w:t>
            </w:r>
          </w:p>
          <w:p w14:paraId="7D3F09ED"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支出</w:t>
            </w:r>
          </w:p>
        </w:tc>
        <w:tc>
          <w:tcPr>
            <w:tcW w:w="1417" w:type="dxa"/>
            <w:tcBorders>
              <w:tl2br w:val="nil"/>
              <w:tr2bl w:val="nil"/>
            </w:tcBorders>
            <w:tcMar>
              <w:top w:w="0" w:type="dxa"/>
              <w:left w:w="11" w:type="dxa"/>
              <w:bottom w:w="0" w:type="dxa"/>
              <w:right w:w="11" w:type="dxa"/>
            </w:tcMar>
            <w:vAlign w:val="center"/>
          </w:tcPr>
          <w:p w14:paraId="766CD1B0" w14:textId="0817E5AB"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254.15</w:t>
            </w:r>
          </w:p>
        </w:tc>
        <w:tc>
          <w:tcPr>
            <w:tcW w:w="1306" w:type="dxa"/>
            <w:tcBorders>
              <w:tl2br w:val="nil"/>
              <w:tr2bl w:val="nil"/>
            </w:tcBorders>
            <w:tcMar>
              <w:top w:w="0" w:type="dxa"/>
              <w:left w:w="11" w:type="dxa"/>
              <w:bottom w:w="0" w:type="dxa"/>
              <w:right w:w="11" w:type="dxa"/>
            </w:tcMar>
            <w:vAlign w:val="center"/>
          </w:tcPr>
          <w:p w14:paraId="47B5523C" w14:textId="5275F662"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243.85</w:t>
            </w:r>
          </w:p>
        </w:tc>
        <w:tc>
          <w:tcPr>
            <w:tcW w:w="1330" w:type="dxa"/>
            <w:vMerge/>
            <w:tcBorders>
              <w:tl2br w:val="nil"/>
              <w:tr2bl w:val="nil"/>
            </w:tcBorders>
            <w:vAlign w:val="center"/>
          </w:tcPr>
          <w:p w14:paraId="1220A709" w14:textId="77777777" w:rsidR="00E81271" w:rsidRDefault="00E81271" w:rsidP="00DC1C9C">
            <w:pPr>
              <w:widowControl/>
              <w:spacing w:line="340" w:lineRule="exact"/>
              <w:jc w:val="left"/>
              <w:rPr>
                <w:rFonts w:ascii="仿宋" w:eastAsia="仿宋" w:hAnsi="仿宋" w:cs="仿宋"/>
                <w:kern w:val="0"/>
                <w:sz w:val="20"/>
                <w:szCs w:val="20"/>
              </w:rPr>
            </w:pPr>
          </w:p>
        </w:tc>
        <w:tc>
          <w:tcPr>
            <w:tcW w:w="908" w:type="dxa"/>
            <w:vMerge/>
            <w:tcBorders>
              <w:tl2br w:val="nil"/>
              <w:tr2bl w:val="nil"/>
            </w:tcBorders>
            <w:vAlign w:val="center"/>
          </w:tcPr>
          <w:p w14:paraId="09B4B294" w14:textId="77777777" w:rsidR="00E81271" w:rsidRDefault="00E81271" w:rsidP="00DC1C9C">
            <w:pPr>
              <w:widowControl/>
              <w:spacing w:line="340" w:lineRule="exact"/>
              <w:jc w:val="left"/>
              <w:rPr>
                <w:rFonts w:ascii="仿宋" w:eastAsia="仿宋" w:hAnsi="仿宋" w:cs="仿宋"/>
                <w:kern w:val="0"/>
                <w:sz w:val="20"/>
                <w:szCs w:val="20"/>
              </w:rPr>
            </w:pPr>
          </w:p>
        </w:tc>
        <w:tc>
          <w:tcPr>
            <w:tcW w:w="881" w:type="dxa"/>
            <w:vMerge/>
            <w:tcBorders>
              <w:tl2br w:val="nil"/>
              <w:tr2bl w:val="nil"/>
            </w:tcBorders>
            <w:vAlign w:val="center"/>
          </w:tcPr>
          <w:p w14:paraId="743394FB" w14:textId="77777777" w:rsidR="00E81271" w:rsidRDefault="00E81271" w:rsidP="00DC1C9C">
            <w:pPr>
              <w:widowControl/>
              <w:spacing w:line="340" w:lineRule="exact"/>
              <w:jc w:val="left"/>
              <w:rPr>
                <w:rFonts w:ascii="仿宋" w:eastAsia="仿宋" w:hAnsi="仿宋" w:cs="仿宋"/>
                <w:kern w:val="0"/>
                <w:sz w:val="20"/>
                <w:szCs w:val="20"/>
              </w:rPr>
            </w:pPr>
          </w:p>
        </w:tc>
      </w:tr>
      <w:tr w:rsidR="00E81271" w14:paraId="5BA5C5CB" w14:textId="77777777" w:rsidTr="00E81271">
        <w:trPr>
          <w:trHeight w:val="23"/>
          <w:jc w:val="center"/>
        </w:trPr>
        <w:tc>
          <w:tcPr>
            <w:tcW w:w="1722" w:type="dxa"/>
            <w:vMerge/>
            <w:tcBorders>
              <w:tl2br w:val="nil"/>
              <w:tr2bl w:val="nil"/>
            </w:tcBorders>
            <w:vAlign w:val="center"/>
          </w:tcPr>
          <w:p w14:paraId="6FDF2C27"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tcBorders>
              <w:tl2br w:val="nil"/>
              <w:tr2bl w:val="nil"/>
            </w:tcBorders>
            <w:vAlign w:val="center"/>
          </w:tcPr>
          <w:p w14:paraId="5FADC921"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其他</w:t>
            </w:r>
          </w:p>
        </w:tc>
        <w:tc>
          <w:tcPr>
            <w:tcW w:w="1417" w:type="dxa"/>
            <w:tcBorders>
              <w:tl2br w:val="nil"/>
              <w:tr2bl w:val="nil"/>
            </w:tcBorders>
            <w:vAlign w:val="center"/>
          </w:tcPr>
          <w:p w14:paraId="2909E5A9"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w:t>
            </w:r>
          </w:p>
        </w:tc>
        <w:tc>
          <w:tcPr>
            <w:tcW w:w="1306" w:type="dxa"/>
            <w:tcBorders>
              <w:tl2br w:val="nil"/>
              <w:tr2bl w:val="nil"/>
            </w:tcBorders>
            <w:vAlign w:val="center"/>
          </w:tcPr>
          <w:p w14:paraId="7BBC42BB"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w:t>
            </w:r>
          </w:p>
        </w:tc>
        <w:tc>
          <w:tcPr>
            <w:tcW w:w="1330" w:type="dxa"/>
            <w:vMerge/>
            <w:tcBorders>
              <w:tl2br w:val="nil"/>
              <w:tr2bl w:val="nil"/>
            </w:tcBorders>
            <w:vAlign w:val="center"/>
          </w:tcPr>
          <w:p w14:paraId="005904EF" w14:textId="77777777" w:rsidR="00E81271" w:rsidRDefault="00E81271" w:rsidP="00DC1C9C">
            <w:pPr>
              <w:widowControl/>
              <w:spacing w:line="340" w:lineRule="exact"/>
              <w:jc w:val="left"/>
              <w:rPr>
                <w:rFonts w:ascii="仿宋" w:eastAsia="仿宋" w:hAnsi="仿宋" w:cs="仿宋"/>
                <w:kern w:val="0"/>
                <w:sz w:val="20"/>
                <w:szCs w:val="20"/>
              </w:rPr>
            </w:pPr>
          </w:p>
        </w:tc>
        <w:tc>
          <w:tcPr>
            <w:tcW w:w="908" w:type="dxa"/>
            <w:vMerge/>
            <w:tcBorders>
              <w:tl2br w:val="nil"/>
              <w:tr2bl w:val="nil"/>
            </w:tcBorders>
            <w:vAlign w:val="center"/>
          </w:tcPr>
          <w:p w14:paraId="721F082F" w14:textId="77777777" w:rsidR="00E81271" w:rsidRDefault="00E81271" w:rsidP="00DC1C9C">
            <w:pPr>
              <w:widowControl/>
              <w:spacing w:line="340" w:lineRule="exact"/>
              <w:jc w:val="left"/>
              <w:rPr>
                <w:rFonts w:ascii="仿宋" w:eastAsia="仿宋" w:hAnsi="仿宋" w:cs="仿宋"/>
                <w:kern w:val="0"/>
                <w:sz w:val="20"/>
                <w:szCs w:val="20"/>
              </w:rPr>
            </w:pPr>
          </w:p>
        </w:tc>
        <w:tc>
          <w:tcPr>
            <w:tcW w:w="881" w:type="dxa"/>
            <w:vMerge/>
            <w:tcBorders>
              <w:tl2br w:val="nil"/>
              <w:tr2bl w:val="nil"/>
            </w:tcBorders>
            <w:vAlign w:val="center"/>
          </w:tcPr>
          <w:p w14:paraId="2B89D83B" w14:textId="77777777" w:rsidR="00E81271" w:rsidRDefault="00E81271" w:rsidP="00DC1C9C">
            <w:pPr>
              <w:widowControl/>
              <w:spacing w:line="340" w:lineRule="exact"/>
              <w:jc w:val="left"/>
              <w:rPr>
                <w:rFonts w:ascii="仿宋" w:eastAsia="仿宋" w:hAnsi="仿宋" w:cs="仿宋"/>
                <w:kern w:val="0"/>
                <w:sz w:val="20"/>
                <w:szCs w:val="20"/>
              </w:rPr>
            </w:pPr>
          </w:p>
        </w:tc>
      </w:tr>
      <w:tr w:rsidR="00E81271" w14:paraId="3C697F5C" w14:textId="77777777" w:rsidTr="00E81271">
        <w:trPr>
          <w:trHeight w:val="23"/>
          <w:jc w:val="center"/>
        </w:trPr>
        <w:tc>
          <w:tcPr>
            <w:tcW w:w="8482" w:type="dxa"/>
            <w:gridSpan w:val="7"/>
            <w:tcBorders>
              <w:tl2br w:val="nil"/>
              <w:tr2bl w:val="nil"/>
            </w:tcBorders>
            <w:vAlign w:val="center"/>
          </w:tcPr>
          <w:p w14:paraId="3DAF998A" w14:textId="1E14FD35" w:rsidR="00E81271" w:rsidRDefault="00E81271" w:rsidP="00DC1C9C">
            <w:pPr>
              <w:widowControl/>
              <w:spacing w:line="340" w:lineRule="exact"/>
              <w:jc w:val="left"/>
              <w:rPr>
                <w:rFonts w:ascii="仿宋" w:eastAsia="仿宋" w:hAnsi="仿宋" w:cs="仿宋"/>
                <w:b/>
                <w:bCs/>
                <w:kern w:val="0"/>
                <w:sz w:val="18"/>
                <w:szCs w:val="18"/>
              </w:rPr>
            </w:pPr>
            <w:r>
              <w:rPr>
                <w:rFonts w:ascii="仿宋" w:eastAsia="仿宋" w:hAnsi="仿宋" w:cs="仿宋" w:hint="eastAsia"/>
                <w:b/>
                <w:bCs/>
                <w:kern w:val="0"/>
                <w:sz w:val="18"/>
                <w:szCs w:val="18"/>
              </w:rPr>
              <w:t>二、</w:t>
            </w:r>
            <w:r>
              <w:rPr>
                <w:rFonts w:ascii="仿宋" w:eastAsia="仿宋" w:hAnsi="仿宋" w:cs="仿宋" w:hint="eastAsia"/>
                <w:b/>
                <w:bCs/>
                <w:kern w:val="0"/>
                <w:sz w:val="20"/>
                <w:szCs w:val="20"/>
              </w:rPr>
              <w:t>整体绩效目标实现情况（60分）</w:t>
            </w:r>
          </w:p>
        </w:tc>
      </w:tr>
      <w:tr w:rsidR="00E81271" w14:paraId="7A5A6F5A" w14:textId="77777777" w:rsidTr="00E81271">
        <w:trPr>
          <w:trHeight w:val="23"/>
          <w:jc w:val="center"/>
        </w:trPr>
        <w:tc>
          <w:tcPr>
            <w:tcW w:w="1722" w:type="dxa"/>
            <w:tcBorders>
              <w:tl2br w:val="nil"/>
              <w:tr2bl w:val="nil"/>
            </w:tcBorders>
            <w:vAlign w:val="center"/>
          </w:tcPr>
          <w:p w14:paraId="3647B075"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一级</w:t>
            </w:r>
          </w:p>
          <w:p w14:paraId="77495B1B"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指标</w:t>
            </w:r>
          </w:p>
        </w:tc>
        <w:tc>
          <w:tcPr>
            <w:tcW w:w="918" w:type="dxa"/>
            <w:tcBorders>
              <w:tl2br w:val="nil"/>
              <w:tr2bl w:val="nil"/>
            </w:tcBorders>
            <w:vAlign w:val="center"/>
          </w:tcPr>
          <w:p w14:paraId="54391C82"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二级</w:t>
            </w:r>
          </w:p>
          <w:p w14:paraId="2E079140"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指标</w:t>
            </w:r>
          </w:p>
        </w:tc>
        <w:tc>
          <w:tcPr>
            <w:tcW w:w="1417" w:type="dxa"/>
            <w:tcBorders>
              <w:tl2br w:val="nil"/>
              <w:tr2bl w:val="nil"/>
            </w:tcBorders>
            <w:vAlign w:val="center"/>
          </w:tcPr>
          <w:p w14:paraId="735C1EE9"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三级指标</w:t>
            </w:r>
          </w:p>
        </w:tc>
        <w:tc>
          <w:tcPr>
            <w:tcW w:w="1306" w:type="dxa"/>
            <w:tcBorders>
              <w:tl2br w:val="nil"/>
              <w:tr2bl w:val="nil"/>
            </w:tcBorders>
            <w:vAlign w:val="center"/>
          </w:tcPr>
          <w:p w14:paraId="301AC89B"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指标值</w:t>
            </w:r>
          </w:p>
        </w:tc>
        <w:tc>
          <w:tcPr>
            <w:tcW w:w="1330" w:type="dxa"/>
            <w:tcBorders>
              <w:tl2br w:val="nil"/>
              <w:tr2bl w:val="nil"/>
            </w:tcBorders>
            <w:vAlign w:val="center"/>
          </w:tcPr>
          <w:p w14:paraId="0E8EB4CF"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完成值</w:t>
            </w:r>
          </w:p>
        </w:tc>
        <w:tc>
          <w:tcPr>
            <w:tcW w:w="908" w:type="dxa"/>
            <w:tcBorders>
              <w:tl2br w:val="nil"/>
              <w:tr2bl w:val="nil"/>
            </w:tcBorders>
            <w:vAlign w:val="center"/>
          </w:tcPr>
          <w:p w14:paraId="13BB1C27"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分值</w:t>
            </w:r>
          </w:p>
        </w:tc>
        <w:tc>
          <w:tcPr>
            <w:tcW w:w="881" w:type="dxa"/>
            <w:tcBorders>
              <w:tl2br w:val="nil"/>
              <w:tr2bl w:val="nil"/>
            </w:tcBorders>
            <w:vAlign w:val="center"/>
          </w:tcPr>
          <w:p w14:paraId="0C33CB6E"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得分</w:t>
            </w:r>
          </w:p>
        </w:tc>
      </w:tr>
      <w:tr w:rsidR="00E81271" w14:paraId="4C5E884E" w14:textId="77777777" w:rsidTr="00E81271">
        <w:trPr>
          <w:trHeight w:val="23"/>
          <w:jc w:val="center"/>
        </w:trPr>
        <w:tc>
          <w:tcPr>
            <w:tcW w:w="1722" w:type="dxa"/>
            <w:vMerge w:val="restart"/>
            <w:tcBorders>
              <w:tl2br w:val="nil"/>
              <w:tr2bl w:val="nil"/>
            </w:tcBorders>
            <w:vAlign w:val="center"/>
          </w:tcPr>
          <w:p w14:paraId="7A6EB8D1"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整体绩效目标实现情况（60）</w:t>
            </w:r>
          </w:p>
        </w:tc>
        <w:tc>
          <w:tcPr>
            <w:tcW w:w="918" w:type="dxa"/>
            <w:vMerge w:val="restart"/>
            <w:tcBorders>
              <w:tl2br w:val="nil"/>
              <w:tr2bl w:val="nil"/>
            </w:tcBorders>
            <w:vAlign w:val="center"/>
          </w:tcPr>
          <w:p w14:paraId="04B52423"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产出（30）</w:t>
            </w:r>
          </w:p>
        </w:tc>
        <w:tc>
          <w:tcPr>
            <w:tcW w:w="1417" w:type="dxa"/>
            <w:tcBorders>
              <w:tl2br w:val="nil"/>
              <w:tr2bl w:val="nil"/>
            </w:tcBorders>
            <w:vAlign w:val="center"/>
          </w:tcPr>
          <w:p w14:paraId="34381015"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产出数量</w:t>
            </w:r>
          </w:p>
          <w:p w14:paraId="65CDC666"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06" w:type="dxa"/>
            <w:tcBorders>
              <w:tl2br w:val="nil"/>
              <w:tr2bl w:val="nil"/>
            </w:tcBorders>
            <w:vAlign w:val="center"/>
          </w:tcPr>
          <w:p w14:paraId="22412FEB"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项目完成率</w:t>
            </w:r>
          </w:p>
          <w:p w14:paraId="39D7FD53"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30" w:type="dxa"/>
            <w:tcBorders>
              <w:tl2br w:val="nil"/>
              <w:tr2bl w:val="nil"/>
            </w:tcBorders>
            <w:vAlign w:val="center"/>
          </w:tcPr>
          <w:p w14:paraId="2E1E2069"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100%</w:t>
            </w:r>
          </w:p>
        </w:tc>
        <w:tc>
          <w:tcPr>
            <w:tcW w:w="908" w:type="dxa"/>
            <w:vMerge w:val="restart"/>
            <w:tcBorders>
              <w:tl2br w:val="nil"/>
              <w:tr2bl w:val="nil"/>
            </w:tcBorders>
            <w:vAlign w:val="center"/>
          </w:tcPr>
          <w:p w14:paraId="54CE2C04"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30</w:t>
            </w:r>
          </w:p>
        </w:tc>
        <w:tc>
          <w:tcPr>
            <w:tcW w:w="881" w:type="dxa"/>
            <w:tcBorders>
              <w:tl2br w:val="nil"/>
              <w:tr2bl w:val="nil"/>
            </w:tcBorders>
            <w:vAlign w:val="center"/>
          </w:tcPr>
          <w:p w14:paraId="047B876C" w14:textId="77777777" w:rsidR="00E81271" w:rsidRDefault="00E81271" w:rsidP="00DC1C9C">
            <w:pPr>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r>
      <w:tr w:rsidR="00E81271" w14:paraId="7F0438F5" w14:textId="77777777" w:rsidTr="00E81271">
        <w:trPr>
          <w:trHeight w:val="722"/>
          <w:jc w:val="center"/>
        </w:trPr>
        <w:tc>
          <w:tcPr>
            <w:tcW w:w="1722" w:type="dxa"/>
            <w:vMerge/>
            <w:tcBorders>
              <w:tl2br w:val="nil"/>
              <w:tr2bl w:val="nil"/>
            </w:tcBorders>
            <w:vAlign w:val="center"/>
          </w:tcPr>
          <w:p w14:paraId="619FF4CC"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507F157E" w14:textId="77777777" w:rsidR="00E81271" w:rsidRDefault="00E81271" w:rsidP="00DC1C9C">
            <w:pPr>
              <w:widowControl/>
              <w:spacing w:line="340" w:lineRule="exact"/>
              <w:jc w:val="left"/>
              <w:rPr>
                <w:rFonts w:ascii="仿宋" w:eastAsia="仿宋" w:hAnsi="仿宋" w:cs="仿宋"/>
                <w:kern w:val="0"/>
                <w:sz w:val="20"/>
                <w:szCs w:val="20"/>
              </w:rPr>
            </w:pPr>
          </w:p>
        </w:tc>
        <w:tc>
          <w:tcPr>
            <w:tcW w:w="1417" w:type="dxa"/>
            <w:vMerge w:val="restart"/>
            <w:tcBorders>
              <w:tl2br w:val="nil"/>
              <w:tr2bl w:val="nil"/>
            </w:tcBorders>
            <w:vAlign w:val="center"/>
          </w:tcPr>
          <w:p w14:paraId="36686561"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产出质量</w:t>
            </w:r>
          </w:p>
          <w:p w14:paraId="5E061593"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（12）</w:t>
            </w:r>
          </w:p>
        </w:tc>
        <w:tc>
          <w:tcPr>
            <w:tcW w:w="1306" w:type="dxa"/>
            <w:tcBorders>
              <w:tl2br w:val="nil"/>
              <w:tr2bl w:val="nil"/>
            </w:tcBorders>
            <w:vAlign w:val="center"/>
          </w:tcPr>
          <w:p w14:paraId="2A76925A"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项目达标率</w:t>
            </w:r>
          </w:p>
          <w:p w14:paraId="21D95A64"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30" w:type="dxa"/>
            <w:tcBorders>
              <w:tl2br w:val="nil"/>
              <w:tr2bl w:val="nil"/>
            </w:tcBorders>
            <w:vAlign w:val="center"/>
          </w:tcPr>
          <w:p w14:paraId="2A6D840C"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100%</w:t>
            </w:r>
          </w:p>
        </w:tc>
        <w:tc>
          <w:tcPr>
            <w:tcW w:w="908" w:type="dxa"/>
            <w:vMerge/>
            <w:tcBorders>
              <w:tl2br w:val="nil"/>
              <w:tr2bl w:val="nil"/>
            </w:tcBorders>
            <w:vAlign w:val="center"/>
          </w:tcPr>
          <w:p w14:paraId="466F9268" w14:textId="77777777" w:rsidR="00E81271" w:rsidRDefault="00E81271" w:rsidP="00DC1C9C">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415075A6"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r>
      <w:tr w:rsidR="00E81271" w14:paraId="4196462A" w14:textId="77777777" w:rsidTr="00E81271">
        <w:trPr>
          <w:trHeight w:val="23"/>
          <w:jc w:val="center"/>
        </w:trPr>
        <w:tc>
          <w:tcPr>
            <w:tcW w:w="1722" w:type="dxa"/>
            <w:vMerge/>
            <w:tcBorders>
              <w:tl2br w:val="nil"/>
              <w:tr2bl w:val="nil"/>
            </w:tcBorders>
            <w:vAlign w:val="center"/>
          </w:tcPr>
          <w:p w14:paraId="6009FBF3"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7A13774F" w14:textId="77777777" w:rsidR="00E81271" w:rsidRDefault="00E81271" w:rsidP="00DC1C9C">
            <w:pPr>
              <w:widowControl/>
              <w:spacing w:line="340" w:lineRule="exact"/>
              <w:jc w:val="left"/>
              <w:rPr>
                <w:rFonts w:ascii="仿宋" w:eastAsia="仿宋" w:hAnsi="仿宋" w:cs="仿宋"/>
                <w:kern w:val="0"/>
                <w:sz w:val="20"/>
                <w:szCs w:val="20"/>
              </w:rPr>
            </w:pPr>
          </w:p>
        </w:tc>
        <w:tc>
          <w:tcPr>
            <w:tcW w:w="1417" w:type="dxa"/>
            <w:vMerge/>
            <w:tcBorders>
              <w:tl2br w:val="nil"/>
              <w:tr2bl w:val="nil"/>
            </w:tcBorders>
            <w:vAlign w:val="center"/>
          </w:tcPr>
          <w:p w14:paraId="57D51054" w14:textId="77777777" w:rsidR="00E81271" w:rsidRDefault="00E81271" w:rsidP="00DC1C9C">
            <w:pPr>
              <w:widowControl/>
              <w:spacing w:line="340" w:lineRule="exact"/>
              <w:jc w:val="center"/>
              <w:rPr>
                <w:rFonts w:ascii="仿宋" w:eastAsia="仿宋" w:hAnsi="仿宋" w:cs="仿宋"/>
                <w:kern w:val="0"/>
                <w:sz w:val="20"/>
                <w:szCs w:val="20"/>
              </w:rPr>
            </w:pPr>
          </w:p>
        </w:tc>
        <w:tc>
          <w:tcPr>
            <w:tcW w:w="1306" w:type="dxa"/>
            <w:tcBorders>
              <w:tl2br w:val="nil"/>
              <w:tr2bl w:val="nil"/>
            </w:tcBorders>
            <w:vAlign w:val="center"/>
          </w:tcPr>
          <w:p w14:paraId="23E03F75"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项目成果转化与获奖情况</w:t>
            </w:r>
          </w:p>
          <w:p w14:paraId="6CEF3648"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30" w:type="dxa"/>
            <w:tcBorders>
              <w:tl2br w:val="nil"/>
              <w:tr2bl w:val="nil"/>
            </w:tcBorders>
            <w:vAlign w:val="center"/>
          </w:tcPr>
          <w:p w14:paraId="30024CA3" w14:textId="4B7826DC"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28</w:t>
            </w:r>
            <w:r>
              <w:rPr>
                <w:rFonts w:ascii="仿宋" w:eastAsia="仿宋" w:hAnsi="仿宋" w:cs="仿宋" w:hint="eastAsia"/>
                <w:kern w:val="0"/>
                <w:sz w:val="20"/>
                <w:szCs w:val="20"/>
              </w:rPr>
              <w:t>篇</w:t>
            </w:r>
            <w:r>
              <w:rPr>
                <w:rFonts w:ascii="仿宋" w:eastAsia="仿宋" w:hAnsi="仿宋" w:cs="仿宋" w:hint="eastAsia"/>
                <w:kern w:val="0"/>
                <w:szCs w:val="21"/>
                <w:lang w:bidi="ar"/>
              </w:rPr>
              <w:t>社情民意信息被采用或批示、6篇提案被评为优秀提案</w:t>
            </w:r>
          </w:p>
        </w:tc>
        <w:tc>
          <w:tcPr>
            <w:tcW w:w="908" w:type="dxa"/>
            <w:vMerge/>
            <w:tcBorders>
              <w:tl2br w:val="nil"/>
              <w:tr2bl w:val="nil"/>
            </w:tcBorders>
            <w:vAlign w:val="center"/>
          </w:tcPr>
          <w:p w14:paraId="6342D304" w14:textId="77777777" w:rsidR="00E81271" w:rsidRDefault="00E81271" w:rsidP="00DC1C9C">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15A63D70"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r>
      <w:tr w:rsidR="00E81271" w14:paraId="5FE8DB70" w14:textId="77777777" w:rsidTr="00E81271">
        <w:trPr>
          <w:trHeight w:val="23"/>
          <w:jc w:val="center"/>
        </w:trPr>
        <w:tc>
          <w:tcPr>
            <w:tcW w:w="1722" w:type="dxa"/>
            <w:vMerge/>
            <w:tcBorders>
              <w:tl2br w:val="nil"/>
              <w:tr2bl w:val="nil"/>
            </w:tcBorders>
            <w:vAlign w:val="center"/>
          </w:tcPr>
          <w:p w14:paraId="3D0E82FD"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70C3F38E" w14:textId="77777777" w:rsidR="00E81271" w:rsidRDefault="00E81271" w:rsidP="00DC1C9C">
            <w:pPr>
              <w:widowControl/>
              <w:spacing w:line="340" w:lineRule="exact"/>
              <w:jc w:val="left"/>
              <w:rPr>
                <w:rFonts w:ascii="仿宋" w:eastAsia="仿宋" w:hAnsi="仿宋" w:cs="仿宋"/>
                <w:kern w:val="0"/>
                <w:sz w:val="20"/>
                <w:szCs w:val="20"/>
              </w:rPr>
            </w:pPr>
          </w:p>
        </w:tc>
        <w:tc>
          <w:tcPr>
            <w:tcW w:w="1417" w:type="dxa"/>
            <w:tcBorders>
              <w:tl2br w:val="nil"/>
              <w:tr2bl w:val="nil"/>
            </w:tcBorders>
            <w:vAlign w:val="center"/>
          </w:tcPr>
          <w:p w14:paraId="28639203"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产出进度</w:t>
            </w:r>
          </w:p>
          <w:p w14:paraId="0EE547A6"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06" w:type="dxa"/>
            <w:tcBorders>
              <w:tl2br w:val="nil"/>
              <w:tr2bl w:val="nil"/>
            </w:tcBorders>
            <w:vAlign w:val="center"/>
          </w:tcPr>
          <w:p w14:paraId="0CFA5485" w14:textId="77777777" w:rsidR="00E81271" w:rsidRDefault="00E81271" w:rsidP="00DC1C9C">
            <w:pPr>
              <w:widowControl/>
              <w:spacing w:line="340" w:lineRule="exact"/>
              <w:jc w:val="center"/>
              <w:textAlignment w:val="center"/>
              <w:rPr>
                <w:rFonts w:ascii="仿宋" w:eastAsia="仿宋" w:hAnsi="仿宋" w:cs="仿宋"/>
                <w:kern w:val="0"/>
                <w:sz w:val="20"/>
                <w:szCs w:val="20"/>
              </w:rPr>
            </w:pPr>
            <w:r>
              <w:rPr>
                <w:rFonts w:ascii="仿宋" w:eastAsia="仿宋" w:hAnsi="仿宋" w:cs="仿宋" w:hint="eastAsia"/>
                <w:kern w:val="0"/>
                <w:sz w:val="20"/>
                <w:szCs w:val="20"/>
              </w:rPr>
              <w:t>是否按时完成保质保量工作</w:t>
            </w:r>
          </w:p>
          <w:p w14:paraId="7A89220B" w14:textId="77777777" w:rsidR="00E81271" w:rsidRDefault="00E81271" w:rsidP="00DC1C9C">
            <w:pPr>
              <w:widowControl/>
              <w:spacing w:line="340" w:lineRule="exact"/>
              <w:jc w:val="center"/>
              <w:textAlignment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30" w:type="dxa"/>
            <w:tcBorders>
              <w:tl2br w:val="nil"/>
              <w:tr2bl w:val="nil"/>
            </w:tcBorders>
            <w:vAlign w:val="center"/>
          </w:tcPr>
          <w:p w14:paraId="79EBF4E2"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按时保质完成</w:t>
            </w:r>
          </w:p>
        </w:tc>
        <w:tc>
          <w:tcPr>
            <w:tcW w:w="908" w:type="dxa"/>
            <w:vMerge/>
            <w:tcBorders>
              <w:tl2br w:val="nil"/>
              <w:tr2bl w:val="nil"/>
            </w:tcBorders>
            <w:vAlign w:val="center"/>
          </w:tcPr>
          <w:p w14:paraId="6C1E69BA" w14:textId="77777777" w:rsidR="00E81271" w:rsidRDefault="00E81271" w:rsidP="00DC1C9C">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65CAE680"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r>
      <w:tr w:rsidR="00E81271" w14:paraId="22A3A403" w14:textId="77777777" w:rsidTr="00E81271">
        <w:trPr>
          <w:trHeight w:val="23"/>
          <w:jc w:val="center"/>
        </w:trPr>
        <w:tc>
          <w:tcPr>
            <w:tcW w:w="1722" w:type="dxa"/>
            <w:vMerge/>
            <w:tcBorders>
              <w:tl2br w:val="nil"/>
              <w:tr2bl w:val="nil"/>
            </w:tcBorders>
            <w:vAlign w:val="center"/>
          </w:tcPr>
          <w:p w14:paraId="03374D7B"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7BA40979" w14:textId="77777777" w:rsidR="00E81271" w:rsidRDefault="00E81271" w:rsidP="00DC1C9C">
            <w:pPr>
              <w:widowControl/>
              <w:spacing w:line="340" w:lineRule="exact"/>
              <w:jc w:val="left"/>
              <w:rPr>
                <w:rFonts w:ascii="仿宋" w:eastAsia="仿宋" w:hAnsi="仿宋" w:cs="仿宋"/>
                <w:kern w:val="0"/>
                <w:sz w:val="20"/>
                <w:szCs w:val="20"/>
              </w:rPr>
            </w:pPr>
          </w:p>
        </w:tc>
        <w:tc>
          <w:tcPr>
            <w:tcW w:w="1417" w:type="dxa"/>
            <w:tcBorders>
              <w:tl2br w:val="nil"/>
              <w:tr2bl w:val="nil"/>
            </w:tcBorders>
            <w:vAlign w:val="center"/>
          </w:tcPr>
          <w:p w14:paraId="5F0C6417"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产出成本</w:t>
            </w:r>
          </w:p>
          <w:p w14:paraId="79689DF2"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06" w:type="dxa"/>
            <w:tcBorders>
              <w:tl2br w:val="nil"/>
              <w:tr2bl w:val="nil"/>
            </w:tcBorders>
            <w:vAlign w:val="center"/>
          </w:tcPr>
          <w:p w14:paraId="3D8033B7"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成本</w:t>
            </w:r>
          </w:p>
          <w:p w14:paraId="7A4CD569"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控制率</w:t>
            </w:r>
          </w:p>
          <w:p w14:paraId="70A4067E"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c>
          <w:tcPr>
            <w:tcW w:w="1330" w:type="dxa"/>
            <w:tcBorders>
              <w:tl2br w:val="nil"/>
              <w:tr2bl w:val="nil"/>
            </w:tcBorders>
            <w:vAlign w:val="center"/>
          </w:tcPr>
          <w:p w14:paraId="5F99F899"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100%</w:t>
            </w:r>
          </w:p>
        </w:tc>
        <w:tc>
          <w:tcPr>
            <w:tcW w:w="908" w:type="dxa"/>
            <w:vMerge/>
            <w:tcBorders>
              <w:tl2br w:val="nil"/>
              <w:tr2bl w:val="nil"/>
            </w:tcBorders>
            <w:vAlign w:val="center"/>
          </w:tcPr>
          <w:p w14:paraId="30E2E3EB" w14:textId="77777777" w:rsidR="00E81271" w:rsidRDefault="00E81271" w:rsidP="00DC1C9C">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0B4E7C26"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6</w:t>
            </w:r>
          </w:p>
        </w:tc>
      </w:tr>
      <w:tr w:rsidR="00E81271" w14:paraId="16161069" w14:textId="77777777" w:rsidTr="00E81271">
        <w:trPr>
          <w:trHeight w:val="23"/>
          <w:jc w:val="center"/>
        </w:trPr>
        <w:tc>
          <w:tcPr>
            <w:tcW w:w="1722" w:type="dxa"/>
            <w:vMerge/>
            <w:tcBorders>
              <w:tl2br w:val="nil"/>
              <w:tr2bl w:val="nil"/>
            </w:tcBorders>
            <w:vAlign w:val="center"/>
          </w:tcPr>
          <w:p w14:paraId="7AD7CA5F" w14:textId="77777777" w:rsidR="00E81271" w:rsidRDefault="00E81271" w:rsidP="00DC1C9C">
            <w:pPr>
              <w:widowControl/>
              <w:spacing w:line="340" w:lineRule="exact"/>
              <w:jc w:val="left"/>
              <w:rPr>
                <w:rFonts w:ascii="仿宋" w:eastAsia="仿宋" w:hAnsi="仿宋" w:cs="仿宋"/>
                <w:kern w:val="0"/>
                <w:sz w:val="20"/>
                <w:szCs w:val="20"/>
              </w:rPr>
            </w:pPr>
          </w:p>
        </w:tc>
        <w:tc>
          <w:tcPr>
            <w:tcW w:w="918" w:type="dxa"/>
            <w:vMerge w:val="restart"/>
            <w:tcBorders>
              <w:tl2br w:val="nil"/>
              <w:tr2bl w:val="nil"/>
            </w:tcBorders>
            <w:vAlign w:val="center"/>
          </w:tcPr>
          <w:p w14:paraId="437BA30F"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效果（30）</w:t>
            </w:r>
          </w:p>
        </w:tc>
        <w:tc>
          <w:tcPr>
            <w:tcW w:w="1417" w:type="dxa"/>
            <w:tcBorders>
              <w:tl2br w:val="nil"/>
              <w:tr2bl w:val="nil"/>
            </w:tcBorders>
            <w:vAlign w:val="center"/>
          </w:tcPr>
          <w:p w14:paraId="792B5CB9"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经济效益</w:t>
            </w:r>
          </w:p>
          <w:p w14:paraId="0F912317"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（5）</w:t>
            </w:r>
          </w:p>
        </w:tc>
        <w:tc>
          <w:tcPr>
            <w:tcW w:w="1306" w:type="dxa"/>
            <w:tcBorders>
              <w:tl2br w:val="nil"/>
              <w:tr2bl w:val="nil"/>
            </w:tcBorders>
            <w:vAlign w:val="center"/>
          </w:tcPr>
          <w:p w14:paraId="4DFBE2D3" w14:textId="5D0EB3B6"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全年助力精准帮扶工作</w:t>
            </w:r>
          </w:p>
          <w:p w14:paraId="53399EB4"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（5）</w:t>
            </w:r>
          </w:p>
        </w:tc>
        <w:tc>
          <w:tcPr>
            <w:tcW w:w="1330" w:type="dxa"/>
            <w:tcBorders>
              <w:tl2br w:val="nil"/>
              <w:tr2bl w:val="nil"/>
            </w:tcBorders>
            <w:vAlign w:val="center"/>
          </w:tcPr>
          <w:p w14:paraId="648A485D" w14:textId="168D92BD"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全年助力精准帮扶工作</w:t>
            </w:r>
          </w:p>
        </w:tc>
        <w:tc>
          <w:tcPr>
            <w:tcW w:w="908" w:type="dxa"/>
            <w:vMerge w:val="restart"/>
            <w:tcBorders>
              <w:tl2br w:val="nil"/>
              <w:tr2bl w:val="nil"/>
            </w:tcBorders>
            <w:noWrap/>
            <w:vAlign w:val="center"/>
          </w:tcPr>
          <w:p w14:paraId="280703FC" w14:textId="77777777"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30</w:t>
            </w:r>
          </w:p>
        </w:tc>
        <w:tc>
          <w:tcPr>
            <w:tcW w:w="881" w:type="dxa"/>
            <w:tcBorders>
              <w:tl2br w:val="nil"/>
              <w:tr2bl w:val="nil"/>
            </w:tcBorders>
            <w:noWrap/>
            <w:vAlign w:val="center"/>
          </w:tcPr>
          <w:p w14:paraId="3030991D" w14:textId="4715BAAE" w:rsidR="00E81271" w:rsidRDefault="00E81271" w:rsidP="00DC1C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5</w:t>
            </w:r>
          </w:p>
        </w:tc>
      </w:tr>
      <w:tr w:rsidR="00E81271" w14:paraId="2B0D9AB8" w14:textId="77777777" w:rsidTr="00E81271">
        <w:trPr>
          <w:trHeight w:val="23"/>
          <w:jc w:val="center"/>
        </w:trPr>
        <w:tc>
          <w:tcPr>
            <w:tcW w:w="1722" w:type="dxa"/>
            <w:vMerge/>
            <w:tcBorders>
              <w:tl2br w:val="nil"/>
              <w:tr2bl w:val="nil"/>
            </w:tcBorders>
            <w:vAlign w:val="center"/>
          </w:tcPr>
          <w:p w14:paraId="6780507A" w14:textId="77777777" w:rsidR="00E81271" w:rsidRDefault="00E81271" w:rsidP="00200E4D">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409C4B56" w14:textId="77777777" w:rsidR="00E81271" w:rsidRDefault="00E81271" w:rsidP="00200E4D">
            <w:pPr>
              <w:widowControl/>
              <w:spacing w:line="340" w:lineRule="exact"/>
              <w:jc w:val="left"/>
              <w:rPr>
                <w:rFonts w:ascii="仿宋" w:eastAsia="仿宋" w:hAnsi="仿宋" w:cs="仿宋"/>
                <w:kern w:val="0"/>
                <w:sz w:val="20"/>
                <w:szCs w:val="20"/>
              </w:rPr>
            </w:pPr>
          </w:p>
        </w:tc>
        <w:tc>
          <w:tcPr>
            <w:tcW w:w="1417" w:type="dxa"/>
            <w:vMerge w:val="restart"/>
            <w:tcBorders>
              <w:tl2br w:val="nil"/>
              <w:tr2bl w:val="nil"/>
            </w:tcBorders>
            <w:vAlign w:val="center"/>
          </w:tcPr>
          <w:p w14:paraId="4702F51D" w14:textId="77777777"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社会效益</w:t>
            </w:r>
          </w:p>
          <w:p w14:paraId="57822F54" w14:textId="77777777"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（12）</w:t>
            </w:r>
          </w:p>
        </w:tc>
        <w:tc>
          <w:tcPr>
            <w:tcW w:w="1306" w:type="dxa"/>
            <w:tcBorders>
              <w:tl2br w:val="nil"/>
              <w:tr2bl w:val="nil"/>
            </w:tcBorders>
            <w:vAlign w:val="center"/>
          </w:tcPr>
          <w:p w14:paraId="321D5E71" w14:textId="1B7E50D4" w:rsidR="00E81271" w:rsidRDefault="00E81271" w:rsidP="00200E4D">
            <w:pPr>
              <w:widowControl/>
              <w:spacing w:line="340" w:lineRule="exact"/>
              <w:jc w:val="center"/>
              <w:rPr>
                <w:rFonts w:ascii="仿宋" w:eastAsia="仿宋" w:hAnsi="仿宋" w:cs="仿宋"/>
                <w:kern w:val="0"/>
                <w:szCs w:val="21"/>
                <w:lang w:bidi="ar"/>
              </w:rPr>
            </w:pPr>
            <w:r>
              <w:rPr>
                <w:rFonts w:ascii="仿宋" w:eastAsia="仿宋" w:hAnsi="仿宋" w:cs="仿宋" w:hint="eastAsia"/>
                <w:kern w:val="0"/>
                <w:szCs w:val="21"/>
                <w:lang w:bidi="ar"/>
              </w:rPr>
              <w:t>宣传市委各项活动开展政务公开</w:t>
            </w:r>
          </w:p>
          <w:p w14:paraId="1CC26D28" w14:textId="2D18F936" w:rsidR="00E81271" w:rsidRDefault="00E81271" w:rsidP="00200E4D">
            <w:pPr>
              <w:widowControl/>
              <w:spacing w:line="340" w:lineRule="exact"/>
              <w:jc w:val="center"/>
              <w:rPr>
                <w:rFonts w:ascii="仿宋" w:eastAsia="仿宋" w:hAnsi="仿宋" w:cs="仿宋"/>
                <w:kern w:val="0"/>
                <w:szCs w:val="21"/>
                <w:lang w:bidi="ar"/>
              </w:rPr>
            </w:pPr>
            <w:r>
              <w:rPr>
                <w:rFonts w:ascii="仿宋" w:eastAsia="仿宋" w:hAnsi="仿宋" w:cs="仿宋" w:hint="eastAsia"/>
                <w:kern w:val="0"/>
                <w:szCs w:val="21"/>
                <w:lang w:bidi="ar"/>
              </w:rPr>
              <w:t>（3）</w:t>
            </w:r>
          </w:p>
        </w:tc>
        <w:tc>
          <w:tcPr>
            <w:tcW w:w="1330" w:type="dxa"/>
            <w:tcBorders>
              <w:tl2br w:val="nil"/>
              <w:tr2bl w:val="nil"/>
            </w:tcBorders>
            <w:vAlign w:val="center"/>
          </w:tcPr>
          <w:p w14:paraId="69E25186" w14:textId="13EE8032" w:rsidR="00E81271" w:rsidRPr="00200E4D" w:rsidRDefault="00E81271" w:rsidP="00200E4D">
            <w:pPr>
              <w:widowControl/>
              <w:spacing w:line="340" w:lineRule="exact"/>
              <w:jc w:val="center"/>
              <w:rPr>
                <w:rFonts w:ascii="仿宋" w:eastAsia="仿宋" w:hAnsi="仿宋" w:cs="仿宋"/>
                <w:kern w:val="0"/>
                <w:szCs w:val="21"/>
                <w:lang w:bidi="ar"/>
              </w:rPr>
            </w:pPr>
            <w:r>
              <w:rPr>
                <w:rFonts w:ascii="仿宋" w:eastAsia="仿宋" w:hAnsi="仿宋" w:cs="仿宋" w:hint="eastAsia"/>
                <w:kern w:val="0"/>
                <w:szCs w:val="21"/>
                <w:lang w:bidi="ar"/>
              </w:rPr>
              <w:t>完成市委各项活动开展政务公开</w:t>
            </w:r>
          </w:p>
        </w:tc>
        <w:tc>
          <w:tcPr>
            <w:tcW w:w="908" w:type="dxa"/>
            <w:vMerge/>
            <w:tcBorders>
              <w:tl2br w:val="nil"/>
              <w:tr2bl w:val="nil"/>
            </w:tcBorders>
            <w:vAlign w:val="center"/>
          </w:tcPr>
          <w:p w14:paraId="2A5E7226" w14:textId="77777777" w:rsidR="00E81271" w:rsidRDefault="00E81271" w:rsidP="00200E4D">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044DE7F0" w14:textId="77777777"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3</w:t>
            </w:r>
          </w:p>
        </w:tc>
      </w:tr>
      <w:tr w:rsidR="00E81271" w14:paraId="040E0126" w14:textId="77777777" w:rsidTr="00E81271">
        <w:trPr>
          <w:trHeight w:val="23"/>
          <w:jc w:val="center"/>
        </w:trPr>
        <w:tc>
          <w:tcPr>
            <w:tcW w:w="1722" w:type="dxa"/>
            <w:vMerge/>
            <w:tcBorders>
              <w:tl2br w:val="nil"/>
              <w:tr2bl w:val="nil"/>
            </w:tcBorders>
            <w:vAlign w:val="center"/>
          </w:tcPr>
          <w:p w14:paraId="43F548F4" w14:textId="77777777" w:rsidR="00E81271" w:rsidRDefault="00E81271" w:rsidP="00200E4D">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33FC96C0" w14:textId="77777777" w:rsidR="00E81271" w:rsidRDefault="00E81271" w:rsidP="00200E4D">
            <w:pPr>
              <w:widowControl/>
              <w:spacing w:line="340" w:lineRule="exact"/>
              <w:jc w:val="left"/>
              <w:rPr>
                <w:rFonts w:ascii="仿宋" w:eastAsia="仿宋" w:hAnsi="仿宋" w:cs="仿宋"/>
                <w:kern w:val="0"/>
                <w:sz w:val="20"/>
                <w:szCs w:val="20"/>
              </w:rPr>
            </w:pPr>
          </w:p>
        </w:tc>
        <w:tc>
          <w:tcPr>
            <w:tcW w:w="1417" w:type="dxa"/>
            <w:vMerge/>
            <w:tcBorders>
              <w:tl2br w:val="nil"/>
              <w:tr2bl w:val="nil"/>
            </w:tcBorders>
            <w:vAlign w:val="center"/>
          </w:tcPr>
          <w:p w14:paraId="7C3022FB" w14:textId="77777777" w:rsidR="00E81271" w:rsidRDefault="00E81271" w:rsidP="00200E4D">
            <w:pPr>
              <w:widowControl/>
              <w:spacing w:line="340" w:lineRule="exact"/>
              <w:jc w:val="center"/>
              <w:rPr>
                <w:rFonts w:ascii="仿宋" w:eastAsia="仿宋" w:hAnsi="仿宋" w:cs="仿宋"/>
                <w:kern w:val="0"/>
                <w:sz w:val="20"/>
                <w:szCs w:val="20"/>
              </w:rPr>
            </w:pPr>
          </w:p>
        </w:tc>
        <w:tc>
          <w:tcPr>
            <w:tcW w:w="1306" w:type="dxa"/>
            <w:tcBorders>
              <w:tl2br w:val="nil"/>
              <w:tr2bl w:val="nil"/>
            </w:tcBorders>
            <w:vAlign w:val="center"/>
          </w:tcPr>
          <w:p w14:paraId="5DBAF237" w14:textId="77777777" w:rsidR="00E81271" w:rsidRDefault="00E81271" w:rsidP="00200E4D">
            <w:pPr>
              <w:widowControl/>
              <w:spacing w:line="340" w:lineRule="exact"/>
              <w:jc w:val="center"/>
              <w:rPr>
                <w:rFonts w:ascii="仿宋" w:eastAsia="仿宋" w:hAnsi="仿宋" w:cs="仿宋"/>
                <w:kern w:val="0"/>
                <w:szCs w:val="21"/>
                <w:lang w:bidi="ar"/>
              </w:rPr>
            </w:pPr>
            <w:r>
              <w:rPr>
                <w:rFonts w:ascii="仿宋" w:eastAsia="仿宋" w:hAnsi="仿宋" w:cs="仿宋" w:hint="eastAsia"/>
                <w:kern w:val="0"/>
                <w:szCs w:val="21"/>
                <w:lang w:bidi="ar"/>
              </w:rPr>
              <w:t>提交提案/建议并推动</w:t>
            </w:r>
            <w:r>
              <w:rPr>
                <w:rFonts w:ascii="仿宋" w:eastAsia="仿宋" w:hAnsi="仿宋" w:cs="仿宋" w:hint="eastAsia"/>
                <w:kern w:val="0"/>
                <w:szCs w:val="21"/>
                <w:lang w:bidi="ar"/>
              </w:rPr>
              <w:lastRenderedPageBreak/>
              <w:t>落实</w:t>
            </w:r>
          </w:p>
          <w:p w14:paraId="67EB0BB5" w14:textId="77777777" w:rsidR="00E81271" w:rsidRDefault="00E81271" w:rsidP="00200E4D">
            <w:pPr>
              <w:widowControl/>
              <w:spacing w:line="340" w:lineRule="exact"/>
              <w:jc w:val="center"/>
              <w:rPr>
                <w:rFonts w:ascii="仿宋" w:eastAsia="仿宋" w:hAnsi="仿宋" w:cs="仿宋"/>
                <w:kern w:val="0"/>
                <w:szCs w:val="21"/>
                <w:lang w:bidi="ar"/>
              </w:rPr>
            </w:pPr>
            <w:r>
              <w:rPr>
                <w:rFonts w:ascii="仿宋" w:eastAsia="仿宋" w:hAnsi="仿宋" w:cs="仿宋" w:hint="eastAsia"/>
                <w:kern w:val="0"/>
                <w:szCs w:val="21"/>
                <w:lang w:bidi="ar"/>
              </w:rPr>
              <w:t>（3）</w:t>
            </w:r>
          </w:p>
        </w:tc>
        <w:tc>
          <w:tcPr>
            <w:tcW w:w="1330" w:type="dxa"/>
            <w:tcBorders>
              <w:tl2br w:val="nil"/>
              <w:tr2bl w:val="nil"/>
            </w:tcBorders>
            <w:vAlign w:val="center"/>
          </w:tcPr>
          <w:p w14:paraId="3F2D15E4" w14:textId="77777777"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Cs w:val="21"/>
                <w:lang w:bidi="ar"/>
              </w:rPr>
              <w:lastRenderedPageBreak/>
              <w:t>提交提案/建议被采用</w:t>
            </w:r>
            <w:r>
              <w:rPr>
                <w:rFonts w:ascii="仿宋" w:eastAsia="仿宋" w:hAnsi="仿宋" w:cs="仿宋" w:hint="eastAsia"/>
                <w:kern w:val="0"/>
                <w:szCs w:val="21"/>
                <w:lang w:bidi="ar"/>
              </w:rPr>
              <w:lastRenderedPageBreak/>
              <w:t>或批示，推进办理</w:t>
            </w:r>
          </w:p>
        </w:tc>
        <w:tc>
          <w:tcPr>
            <w:tcW w:w="908" w:type="dxa"/>
            <w:vMerge/>
            <w:tcBorders>
              <w:tl2br w:val="nil"/>
              <w:tr2bl w:val="nil"/>
            </w:tcBorders>
            <w:vAlign w:val="center"/>
          </w:tcPr>
          <w:p w14:paraId="3FAD9E53" w14:textId="77777777" w:rsidR="00E81271" w:rsidRDefault="00E81271" w:rsidP="00200E4D">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029FAF79" w14:textId="1F9E8BAC"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3</w:t>
            </w:r>
          </w:p>
        </w:tc>
      </w:tr>
      <w:tr w:rsidR="00E81271" w14:paraId="5BC693D1" w14:textId="77777777" w:rsidTr="00E81271">
        <w:trPr>
          <w:trHeight w:val="23"/>
          <w:jc w:val="center"/>
        </w:trPr>
        <w:tc>
          <w:tcPr>
            <w:tcW w:w="1722" w:type="dxa"/>
            <w:vMerge/>
            <w:tcBorders>
              <w:tl2br w:val="nil"/>
              <w:tr2bl w:val="nil"/>
            </w:tcBorders>
            <w:vAlign w:val="center"/>
          </w:tcPr>
          <w:p w14:paraId="284EC3C8" w14:textId="77777777" w:rsidR="00E81271" w:rsidRDefault="00E81271" w:rsidP="00200E4D">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70B9933D" w14:textId="77777777" w:rsidR="00E81271" w:rsidRDefault="00E81271" w:rsidP="00200E4D">
            <w:pPr>
              <w:widowControl/>
              <w:spacing w:line="340" w:lineRule="exact"/>
              <w:jc w:val="left"/>
              <w:rPr>
                <w:rFonts w:ascii="仿宋" w:eastAsia="仿宋" w:hAnsi="仿宋" w:cs="仿宋"/>
                <w:kern w:val="0"/>
                <w:sz w:val="20"/>
                <w:szCs w:val="20"/>
              </w:rPr>
            </w:pPr>
          </w:p>
        </w:tc>
        <w:tc>
          <w:tcPr>
            <w:tcW w:w="1417" w:type="dxa"/>
            <w:vMerge/>
            <w:tcBorders>
              <w:tl2br w:val="nil"/>
              <w:tr2bl w:val="nil"/>
            </w:tcBorders>
            <w:vAlign w:val="center"/>
          </w:tcPr>
          <w:p w14:paraId="1A528539" w14:textId="77777777" w:rsidR="00E81271" w:rsidRDefault="00E81271" w:rsidP="00200E4D">
            <w:pPr>
              <w:widowControl/>
              <w:spacing w:line="340" w:lineRule="exact"/>
              <w:jc w:val="center"/>
              <w:rPr>
                <w:rFonts w:ascii="仿宋" w:eastAsia="仿宋" w:hAnsi="仿宋" w:cs="仿宋"/>
                <w:kern w:val="0"/>
                <w:sz w:val="20"/>
                <w:szCs w:val="20"/>
              </w:rPr>
            </w:pPr>
          </w:p>
        </w:tc>
        <w:tc>
          <w:tcPr>
            <w:tcW w:w="1306" w:type="dxa"/>
            <w:tcBorders>
              <w:tl2br w:val="nil"/>
              <w:tr2bl w:val="nil"/>
            </w:tcBorders>
            <w:vAlign w:val="center"/>
          </w:tcPr>
          <w:p w14:paraId="6A5F96BA" w14:textId="1860D690"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召开主题教育</w:t>
            </w:r>
            <w:r>
              <w:rPr>
                <w:rFonts w:ascii="仿宋" w:eastAsia="仿宋" w:hAnsi="仿宋" w:cs="仿宋" w:hint="eastAsia"/>
                <w:kern w:val="0"/>
                <w:szCs w:val="21"/>
                <w:lang w:bidi="ar"/>
              </w:rPr>
              <w:t>（3）</w:t>
            </w:r>
          </w:p>
        </w:tc>
        <w:tc>
          <w:tcPr>
            <w:tcW w:w="1330" w:type="dxa"/>
            <w:tcBorders>
              <w:tl2br w:val="nil"/>
              <w:tr2bl w:val="nil"/>
            </w:tcBorders>
            <w:vAlign w:val="center"/>
          </w:tcPr>
          <w:p w14:paraId="702655AE" w14:textId="7C966456"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召开主题教育1次</w:t>
            </w:r>
          </w:p>
        </w:tc>
        <w:tc>
          <w:tcPr>
            <w:tcW w:w="908" w:type="dxa"/>
            <w:vMerge/>
            <w:tcBorders>
              <w:tl2br w:val="nil"/>
              <w:tr2bl w:val="nil"/>
            </w:tcBorders>
            <w:vAlign w:val="center"/>
          </w:tcPr>
          <w:p w14:paraId="09B1D493" w14:textId="77777777" w:rsidR="00E81271" w:rsidRDefault="00E81271" w:rsidP="00200E4D">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0634AF4C" w14:textId="77777777"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3</w:t>
            </w:r>
          </w:p>
        </w:tc>
      </w:tr>
      <w:tr w:rsidR="00E81271" w14:paraId="70F3D95B" w14:textId="77777777" w:rsidTr="00E81271">
        <w:trPr>
          <w:trHeight w:val="23"/>
          <w:jc w:val="center"/>
        </w:trPr>
        <w:tc>
          <w:tcPr>
            <w:tcW w:w="1722" w:type="dxa"/>
            <w:vMerge/>
            <w:tcBorders>
              <w:tl2br w:val="nil"/>
              <w:tr2bl w:val="nil"/>
            </w:tcBorders>
            <w:vAlign w:val="center"/>
          </w:tcPr>
          <w:p w14:paraId="6C21AEA3" w14:textId="77777777" w:rsidR="00E81271" w:rsidRDefault="00E81271" w:rsidP="00200E4D">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63358AC4" w14:textId="77777777" w:rsidR="00E81271" w:rsidRDefault="00E81271" w:rsidP="00200E4D">
            <w:pPr>
              <w:widowControl/>
              <w:spacing w:line="340" w:lineRule="exact"/>
              <w:jc w:val="left"/>
              <w:rPr>
                <w:rFonts w:ascii="仿宋" w:eastAsia="仿宋" w:hAnsi="仿宋" w:cs="仿宋"/>
                <w:kern w:val="0"/>
                <w:sz w:val="20"/>
                <w:szCs w:val="20"/>
              </w:rPr>
            </w:pPr>
          </w:p>
        </w:tc>
        <w:tc>
          <w:tcPr>
            <w:tcW w:w="1417" w:type="dxa"/>
            <w:vMerge/>
            <w:tcBorders>
              <w:tl2br w:val="nil"/>
              <w:tr2bl w:val="nil"/>
            </w:tcBorders>
            <w:vAlign w:val="center"/>
          </w:tcPr>
          <w:p w14:paraId="18195C3E" w14:textId="77777777" w:rsidR="00E81271" w:rsidRDefault="00E81271" w:rsidP="00200E4D">
            <w:pPr>
              <w:widowControl/>
              <w:spacing w:line="340" w:lineRule="exact"/>
              <w:jc w:val="center"/>
              <w:rPr>
                <w:rFonts w:ascii="仿宋" w:eastAsia="仿宋" w:hAnsi="仿宋" w:cs="仿宋"/>
                <w:kern w:val="0"/>
                <w:sz w:val="20"/>
                <w:szCs w:val="20"/>
              </w:rPr>
            </w:pPr>
          </w:p>
        </w:tc>
        <w:tc>
          <w:tcPr>
            <w:tcW w:w="1306" w:type="dxa"/>
            <w:tcBorders>
              <w:tl2br w:val="nil"/>
              <w:tr2bl w:val="nil"/>
            </w:tcBorders>
            <w:vAlign w:val="center"/>
          </w:tcPr>
          <w:p w14:paraId="1FF4849A" w14:textId="77777777" w:rsidR="00E81271" w:rsidRDefault="00E81271" w:rsidP="00200E4D">
            <w:pPr>
              <w:widowControl/>
              <w:spacing w:line="340" w:lineRule="exact"/>
              <w:jc w:val="center"/>
              <w:rPr>
                <w:rFonts w:ascii="仿宋" w:eastAsia="仿宋" w:hAnsi="仿宋" w:cs="仿宋"/>
                <w:kern w:val="0"/>
                <w:szCs w:val="21"/>
              </w:rPr>
            </w:pPr>
            <w:r>
              <w:rPr>
                <w:rFonts w:ascii="仿宋" w:eastAsia="仿宋" w:hAnsi="仿宋" w:cs="仿宋" w:hint="eastAsia"/>
                <w:kern w:val="0"/>
                <w:szCs w:val="21"/>
              </w:rPr>
              <w:t>推动当地文化教育、医疗卫生发展</w:t>
            </w:r>
          </w:p>
          <w:p w14:paraId="028FC5C4" w14:textId="77777777" w:rsidR="00E81271" w:rsidRDefault="00E81271" w:rsidP="00200E4D">
            <w:pPr>
              <w:widowControl/>
              <w:spacing w:line="340" w:lineRule="exact"/>
              <w:jc w:val="center"/>
              <w:rPr>
                <w:rFonts w:ascii="仿宋" w:eastAsia="仿宋" w:hAnsi="仿宋" w:cs="仿宋"/>
                <w:kern w:val="0"/>
                <w:szCs w:val="21"/>
              </w:rPr>
            </w:pPr>
            <w:r>
              <w:rPr>
                <w:rFonts w:ascii="仿宋" w:eastAsia="仿宋" w:hAnsi="仿宋" w:cs="仿宋" w:hint="eastAsia"/>
                <w:kern w:val="0"/>
                <w:szCs w:val="21"/>
                <w:lang w:bidi="ar"/>
              </w:rPr>
              <w:t>（3）</w:t>
            </w:r>
          </w:p>
        </w:tc>
        <w:tc>
          <w:tcPr>
            <w:tcW w:w="1330" w:type="dxa"/>
            <w:tcBorders>
              <w:tl2br w:val="nil"/>
              <w:tr2bl w:val="nil"/>
            </w:tcBorders>
            <w:vAlign w:val="center"/>
          </w:tcPr>
          <w:p w14:paraId="60A29E0F" w14:textId="77777777"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Cs w:val="21"/>
              </w:rPr>
              <w:t>提升农工党影响力</w:t>
            </w:r>
          </w:p>
        </w:tc>
        <w:tc>
          <w:tcPr>
            <w:tcW w:w="908" w:type="dxa"/>
            <w:vMerge/>
            <w:tcBorders>
              <w:tl2br w:val="nil"/>
              <w:tr2bl w:val="nil"/>
            </w:tcBorders>
            <w:vAlign w:val="center"/>
          </w:tcPr>
          <w:p w14:paraId="59968595" w14:textId="77777777" w:rsidR="00E81271" w:rsidRDefault="00E81271" w:rsidP="00200E4D">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7E8F97B1" w14:textId="77777777" w:rsidR="00E81271" w:rsidRDefault="00E81271" w:rsidP="00200E4D">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3</w:t>
            </w:r>
          </w:p>
        </w:tc>
      </w:tr>
      <w:tr w:rsidR="00E81271" w14:paraId="7C3ED931" w14:textId="77777777" w:rsidTr="00E81271">
        <w:trPr>
          <w:trHeight w:val="825"/>
          <w:jc w:val="center"/>
        </w:trPr>
        <w:tc>
          <w:tcPr>
            <w:tcW w:w="1722" w:type="dxa"/>
            <w:vMerge/>
            <w:tcBorders>
              <w:tl2br w:val="nil"/>
              <w:tr2bl w:val="nil"/>
            </w:tcBorders>
            <w:vAlign w:val="center"/>
          </w:tcPr>
          <w:p w14:paraId="55E65EEF"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01D4DFCE" w14:textId="77777777" w:rsidR="00E81271" w:rsidRDefault="00E81271" w:rsidP="00F9639C">
            <w:pPr>
              <w:widowControl/>
              <w:spacing w:line="340" w:lineRule="exact"/>
              <w:jc w:val="left"/>
              <w:rPr>
                <w:rFonts w:ascii="仿宋" w:eastAsia="仿宋" w:hAnsi="仿宋" w:cs="仿宋"/>
                <w:kern w:val="0"/>
                <w:sz w:val="20"/>
                <w:szCs w:val="20"/>
              </w:rPr>
            </w:pPr>
          </w:p>
        </w:tc>
        <w:tc>
          <w:tcPr>
            <w:tcW w:w="1417" w:type="dxa"/>
            <w:tcBorders>
              <w:tl2br w:val="nil"/>
              <w:tr2bl w:val="nil"/>
            </w:tcBorders>
            <w:vAlign w:val="center"/>
          </w:tcPr>
          <w:p w14:paraId="5E9A814E"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可持续影响</w:t>
            </w:r>
          </w:p>
          <w:p w14:paraId="685F7244"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（8）</w:t>
            </w:r>
          </w:p>
        </w:tc>
        <w:tc>
          <w:tcPr>
            <w:tcW w:w="1306" w:type="dxa"/>
            <w:tcBorders>
              <w:tl2br w:val="nil"/>
              <w:tr2bl w:val="nil"/>
            </w:tcBorders>
            <w:vAlign w:val="center"/>
          </w:tcPr>
          <w:p w14:paraId="394C0DD8" w14:textId="77777777" w:rsidR="00E81271" w:rsidRDefault="00E81271" w:rsidP="00F9639C">
            <w:pPr>
              <w:widowControl/>
              <w:spacing w:line="340" w:lineRule="exact"/>
              <w:jc w:val="center"/>
              <w:rPr>
                <w:rFonts w:ascii="仿宋" w:eastAsia="仿宋" w:hAnsi="仿宋" w:cs="仿宋"/>
                <w:kern w:val="0"/>
                <w:szCs w:val="21"/>
              </w:rPr>
            </w:pPr>
            <w:r>
              <w:rPr>
                <w:rFonts w:ascii="仿宋" w:eastAsia="仿宋" w:hAnsi="仿宋" w:cs="仿宋" w:hint="eastAsia"/>
                <w:kern w:val="0"/>
                <w:szCs w:val="21"/>
              </w:rPr>
              <w:t>提升农工党影响力</w:t>
            </w:r>
          </w:p>
          <w:p w14:paraId="57A37852" w14:textId="196519B1"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w:t>
            </w:r>
            <w:r>
              <w:rPr>
                <w:rFonts w:ascii="仿宋" w:eastAsia="仿宋" w:hAnsi="仿宋" w:cs="仿宋"/>
                <w:kern w:val="0"/>
                <w:sz w:val="20"/>
                <w:szCs w:val="20"/>
              </w:rPr>
              <w:t>8</w:t>
            </w:r>
            <w:r>
              <w:rPr>
                <w:rFonts w:ascii="仿宋" w:eastAsia="仿宋" w:hAnsi="仿宋" w:cs="仿宋" w:hint="eastAsia"/>
                <w:kern w:val="0"/>
                <w:sz w:val="20"/>
                <w:szCs w:val="20"/>
              </w:rPr>
              <w:t>）</w:t>
            </w:r>
          </w:p>
        </w:tc>
        <w:tc>
          <w:tcPr>
            <w:tcW w:w="1330" w:type="dxa"/>
            <w:tcBorders>
              <w:tl2br w:val="nil"/>
              <w:tr2bl w:val="nil"/>
            </w:tcBorders>
            <w:vAlign w:val="center"/>
          </w:tcPr>
          <w:p w14:paraId="354BC1EC" w14:textId="23257520"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Cs w:val="21"/>
              </w:rPr>
              <w:t>提升农工党影响力</w:t>
            </w:r>
          </w:p>
        </w:tc>
        <w:tc>
          <w:tcPr>
            <w:tcW w:w="908" w:type="dxa"/>
            <w:vMerge/>
            <w:tcBorders>
              <w:tl2br w:val="nil"/>
              <w:tr2bl w:val="nil"/>
            </w:tcBorders>
            <w:vAlign w:val="center"/>
          </w:tcPr>
          <w:p w14:paraId="365B564C" w14:textId="77777777" w:rsidR="00E81271" w:rsidRDefault="00E81271" w:rsidP="00F9639C">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690A7A19" w14:textId="05823C4C"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kern w:val="0"/>
                <w:sz w:val="20"/>
                <w:szCs w:val="20"/>
              </w:rPr>
              <w:t>7</w:t>
            </w:r>
          </w:p>
        </w:tc>
      </w:tr>
      <w:tr w:rsidR="00E81271" w14:paraId="3A07753F" w14:textId="77777777" w:rsidTr="00E81271">
        <w:trPr>
          <w:trHeight w:val="1341"/>
          <w:jc w:val="center"/>
        </w:trPr>
        <w:tc>
          <w:tcPr>
            <w:tcW w:w="1722" w:type="dxa"/>
            <w:vMerge/>
            <w:tcBorders>
              <w:tl2br w:val="nil"/>
              <w:tr2bl w:val="nil"/>
            </w:tcBorders>
            <w:vAlign w:val="center"/>
          </w:tcPr>
          <w:p w14:paraId="0EEDF472"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59C780AB" w14:textId="77777777" w:rsidR="00E81271" w:rsidRDefault="00E81271" w:rsidP="00F9639C">
            <w:pPr>
              <w:widowControl/>
              <w:spacing w:line="340" w:lineRule="exact"/>
              <w:jc w:val="left"/>
              <w:rPr>
                <w:rFonts w:ascii="仿宋" w:eastAsia="仿宋" w:hAnsi="仿宋" w:cs="仿宋"/>
                <w:kern w:val="0"/>
                <w:sz w:val="20"/>
                <w:szCs w:val="20"/>
              </w:rPr>
            </w:pPr>
          </w:p>
        </w:tc>
        <w:tc>
          <w:tcPr>
            <w:tcW w:w="1417" w:type="dxa"/>
            <w:tcBorders>
              <w:tl2br w:val="nil"/>
              <w:tr2bl w:val="nil"/>
            </w:tcBorders>
            <w:vAlign w:val="center"/>
          </w:tcPr>
          <w:p w14:paraId="55A0165B"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服务对象</w:t>
            </w:r>
          </w:p>
          <w:p w14:paraId="79869305"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满意度</w:t>
            </w:r>
          </w:p>
          <w:p w14:paraId="3AC33196"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（5）</w:t>
            </w:r>
          </w:p>
        </w:tc>
        <w:tc>
          <w:tcPr>
            <w:tcW w:w="1306" w:type="dxa"/>
            <w:tcBorders>
              <w:tl2br w:val="nil"/>
              <w:tr2bl w:val="nil"/>
            </w:tcBorders>
            <w:vAlign w:val="center"/>
          </w:tcPr>
          <w:p w14:paraId="6D520A40"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服务对象满意度</w:t>
            </w:r>
          </w:p>
          <w:p w14:paraId="7F603361"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（5）</w:t>
            </w:r>
          </w:p>
        </w:tc>
        <w:tc>
          <w:tcPr>
            <w:tcW w:w="1330" w:type="dxa"/>
            <w:tcBorders>
              <w:tl2br w:val="nil"/>
              <w:tr2bl w:val="nil"/>
            </w:tcBorders>
            <w:vAlign w:val="center"/>
          </w:tcPr>
          <w:p w14:paraId="28A01371"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服务群众满意度</w:t>
            </w:r>
          </w:p>
        </w:tc>
        <w:tc>
          <w:tcPr>
            <w:tcW w:w="908" w:type="dxa"/>
            <w:vMerge/>
            <w:tcBorders>
              <w:tl2br w:val="nil"/>
              <w:tr2bl w:val="nil"/>
            </w:tcBorders>
            <w:vAlign w:val="center"/>
          </w:tcPr>
          <w:p w14:paraId="20168BA0" w14:textId="77777777" w:rsidR="00E81271" w:rsidRDefault="00E81271" w:rsidP="00F9639C">
            <w:pPr>
              <w:widowControl/>
              <w:spacing w:line="340" w:lineRule="exact"/>
              <w:jc w:val="left"/>
              <w:rPr>
                <w:rFonts w:ascii="仿宋" w:eastAsia="仿宋" w:hAnsi="仿宋" w:cs="仿宋"/>
                <w:kern w:val="0"/>
                <w:sz w:val="20"/>
                <w:szCs w:val="20"/>
              </w:rPr>
            </w:pPr>
          </w:p>
        </w:tc>
        <w:tc>
          <w:tcPr>
            <w:tcW w:w="881" w:type="dxa"/>
            <w:tcBorders>
              <w:tl2br w:val="nil"/>
              <w:tr2bl w:val="nil"/>
            </w:tcBorders>
            <w:noWrap/>
            <w:vAlign w:val="center"/>
          </w:tcPr>
          <w:p w14:paraId="1BF74E19"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r>
      <w:tr w:rsidR="00E81271" w14:paraId="1B2C2AC2" w14:textId="77777777" w:rsidTr="00E81271">
        <w:trPr>
          <w:trHeight w:val="23"/>
          <w:jc w:val="center"/>
        </w:trPr>
        <w:tc>
          <w:tcPr>
            <w:tcW w:w="8482" w:type="dxa"/>
            <w:gridSpan w:val="7"/>
            <w:tcBorders>
              <w:tl2br w:val="nil"/>
              <w:tr2bl w:val="nil"/>
            </w:tcBorders>
            <w:vAlign w:val="center"/>
          </w:tcPr>
          <w:p w14:paraId="586C4AE6" w14:textId="159CA999" w:rsidR="00E81271" w:rsidRDefault="00E81271" w:rsidP="00F9639C">
            <w:pPr>
              <w:widowControl/>
              <w:spacing w:line="340" w:lineRule="exact"/>
              <w:jc w:val="left"/>
              <w:rPr>
                <w:rFonts w:ascii="仿宋" w:eastAsia="仿宋" w:hAnsi="仿宋" w:cs="仿宋"/>
                <w:b/>
                <w:bCs/>
                <w:kern w:val="0"/>
                <w:sz w:val="18"/>
                <w:szCs w:val="18"/>
              </w:rPr>
            </w:pPr>
            <w:r>
              <w:rPr>
                <w:rFonts w:ascii="仿宋" w:eastAsia="仿宋" w:hAnsi="仿宋" w:cs="仿宋" w:hint="eastAsia"/>
                <w:b/>
                <w:bCs/>
                <w:kern w:val="0"/>
                <w:sz w:val="18"/>
                <w:szCs w:val="18"/>
              </w:rPr>
              <w:t>三、</w:t>
            </w:r>
            <w:r>
              <w:rPr>
                <w:rFonts w:ascii="仿宋" w:eastAsia="仿宋" w:hAnsi="仿宋" w:cs="仿宋" w:hint="eastAsia"/>
                <w:b/>
                <w:bCs/>
                <w:kern w:val="0"/>
                <w:sz w:val="20"/>
                <w:szCs w:val="20"/>
              </w:rPr>
              <w:t>预算管理情况（20分）</w:t>
            </w:r>
          </w:p>
        </w:tc>
      </w:tr>
      <w:tr w:rsidR="00E81271" w14:paraId="3944E5C8" w14:textId="77777777" w:rsidTr="00E81271">
        <w:trPr>
          <w:trHeight w:val="23"/>
          <w:jc w:val="center"/>
        </w:trPr>
        <w:tc>
          <w:tcPr>
            <w:tcW w:w="1722" w:type="dxa"/>
            <w:tcBorders>
              <w:tl2br w:val="nil"/>
              <w:tr2bl w:val="nil"/>
            </w:tcBorders>
            <w:vAlign w:val="center"/>
          </w:tcPr>
          <w:p w14:paraId="08710855"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一级指标</w:t>
            </w:r>
          </w:p>
        </w:tc>
        <w:tc>
          <w:tcPr>
            <w:tcW w:w="918" w:type="dxa"/>
            <w:tcBorders>
              <w:tl2br w:val="nil"/>
              <w:tr2bl w:val="nil"/>
            </w:tcBorders>
            <w:vAlign w:val="center"/>
          </w:tcPr>
          <w:p w14:paraId="73594CAA"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二级指标</w:t>
            </w:r>
          </w:p>
        </w:tc>
        <w:tc>
          <w:tcPr>
            <w:tcW w:w="1417" w:type="dxa"/>
            <w:tcBorders>
              <w:tl2br w:val="nil"/>
              <w:tr2bl w:val="nil"/>
            </w:tcBorders>
            <w:vAlign w:val="center"/>
          </w:tcPr>
          <w:p w14:paraId="43DF00E8"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三级指标</w:t>
            </w:r>
          </w:p>
        </w:tc>
        <w:tc>
          <w:tcPr>
            <w:tcW w:w="1306" w:type="dxa"/>
            <w:tcBorders>
              <w:tl2br w:val="nil"/>
              <w:tr2bl w:val="nil"/>
            </w:tcBorders>
            <w:vAlign w:val="center"/>
          </w:tcPr>
          <w:p w14:paraId="5D329487"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指标值</w:t>
            </w:r>
          </w:p>
        </w:tc>
        <w:tc>
          <w:tcPr>
            <w:tcW w:w="1330" w:type="dxa"/>
            <w:tcBorders>
              <w:tl2br w:val="nil"/>
              <w:tr2bl w:val="nil"/>
            </w:tcBorders>
            <w:vAlign w:val="center"/>
          </w:tcPr>
          <w:p w14:paraId="7878ED7C"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完成值</w:t>
            </w:r>
          </w:p>
        </w:tc>
        <w:tc>
          <w:tcPr>
            <w:tcW w:w="908" w:type="dxa"/>
            <w:tcBorders>
              <w:tl2br w:val="nil"/>
              <w:tr2bl w:val="nil"/>
            </w:tcBorders>
            <w:noWrap/>
            <w:vAlign w:val="center"/>
          </w:tcPr>
          <w:p w14:paraId="523BA435"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分值</w:t>
            </w:r>
          </w:p>
        </w:tc>
        <w:tc>
          <w:tcPr>
            <w:tcW w:w="881" w:type="dxa"/>
            <w:tcBorders>
              <w:tl2br w:val="nil"/>
              <w:tr2bl w:val="nil"/>
            </w:tcBorders>
            <w:noWrap/>
            <w:vAlign w:val="center"/>
          </w:tcPr>
          <w:p w14:paraId="55177053"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得分</w:t>
            </w:r>
          </w:p>
        </w:tc>
      </w:tr>
      <w:tr w:rsidR="00E81271" w14:paraId="4F9D793A" w14:textId="77777777" w:rsidTr="00E81271">
        <w:trPr>
          <w:trHeight w:val="23"/>
          <w:jc w:val="center"/>
        </w:trPr>
        <w:tc>
          <w:tcPr>
            <w:tcW w:w="1722" w:type="dxa"/>
            <w:vMerge w:val="restart"/>
            <w:tcBorders>
              <w:tl2br w:val="nil"/>
              <w:tr2bl w:val="nil"/>
            </w:tcBorders>
            <w:vAlign w:val="center"/>
          </w:tcPr>
          <w:p w14:paraId="232FF809"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预算管理情况（20）</w:t>
            </w:r>
          </w:p>
        </w:tc>
        <w:tc>
          <w:tcPr>
            <w:tcW w:w="918" w:type="dxa"/>
            <w:vMerge w:val="restart"/>
            <w:tcBorders>
              <w:tl2br w:val="nil"/>
              <w:tr2bl w:val="nil"/>
            </w:tcBorders>
            <w:vAlign w:val="center"/>
          </w:tcPr>
          <w:p w14:paraId="024B2499"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财务管理（4）</w:t>
            </w:r>
          </w:p>
        </w:tc>
        <w:tc>
          <w:tcPr>
            <w:tcW w:w="1417" w:type="dxa"/>
            <w:tcBorders>
              <w:tl2br w:val="nil"/>
              <w:tr2bl w:val="nil"/>
            </w:tcBorders>
            <w:vAlign w:val="center"/>
          </w:tcPr>
          <w:p w14:paraId="17C7C552"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财务管理制度健全性</w:t>
            </w:r>
          </w:p>
        </w:tc>
        <w:tc>
          <w:tcPr>
            <w:tcW w:w="1306" w:type="dxa"/>
            <w:tcBorders>
              <w:tl2br w:val="nil"/>
              <w:tr2bl w:val="nil"/>
            </w:tcBorders>
            <w:vAlign w:val="center"/>
          </w:tcPr>
          <w:p w14:paraId="65E9960F"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预算绩效管理、资产、财务管理等制度健全性</w:t>
            </w:r>
          </w:p>
        </w:tc>
        <w:tc>
          <w:tcPr>
            <w:tcW w:w="1330" w:type="dxa"/>
            <w:tcBorders>
              <w:tl2br w:val="nil"/>
              <w:tr2bl w:val="nil"/>
            </w:tcBorders>
            <w:vAlign w:val="center"/>
          </w:tcPr>
          <w:p w14:paraId="4D2EA1ED"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预算绩效管理、资产、财务管理等制度完整、合规</w:t>
            </w:r>
          </w:p>
        </w:tc>
        <w:tc>
          <w:tcPr>
            <w:tcW w:w="908" w:type="dxa"/>
            <w:tcBorders>
              <w:tl2br w:val="nil"/>
              <w:tr2bl w:val="nil"/>
            </w:tcBorders>
            <w:noWrap/>
            <w:vAlign w:val="center"/>
          </w:tcPr>
          <w:p w14:paraId="1106F132"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w:t>
            </w:r>
          </w:p>
        </w:tc>
        <w:tc>
          <w:tcPr>
            <w:tcW w:w="881" w:type="dxa"/>
            <w:tcBorders>
              <w:tl2br w:val="nil"/>
              <w:tr2bl w:val="nil"/>
            </w:tcBorders>
            <w:noWrap/>
            <w:vAlign w:val="center"/>
          </w:tcPr>
          <w:p w14:paraId="525FB473"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w:t>
            </w:r>
          </w:p>
        </w:tc>
      </w:tr>
      <w:tr w:rsidR="00E81271" w14:paraId="1AD60DF9" w14:textId="77777777" w:rsidTr="00E81271">
        <w:trPr>
          <w:trHeight w:val="23"/>
          <w:jc w:val="center"/>
        </w:trPr>
        <w:tc>
          <w:tcPr>
            <w:tcW w:w="1722" w:type="dxa"/>
            <w:vMerge/>
            <w:tcBorders>
              <w:tl2br w:val="nil"/>
              <w:tr2bl w:val="nil"/>
            </w:tcBorders>
            <w:vAlign w:val="center"/>
          </w:tcPr>
          <w:p w14:paraId="67408467"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3124578F" w14:textId="77777777" w:rsidR="00E81271" w:rsidRDefault="00E81271" w:rsidP="00F9639C">
            <w:pPr>
              <w:widowControl/>
              <w:spacing w:line="340" w:lineRule="exact"/>
              <w:jc w:val="left"/>
              <w:rPr>
                <w:rFonts w:ascii="仿宋" w:eastAsia="仿宋" w:hAnsi="仿宋" w:cs="仿宋"/>
                <w:kern w:val="0"/>
                <w:sz w:val="20"/>
                <w:szCs w:val="20"/>
              </w:rPr>
            </w:pPr>
          </w:p>
        </w:tc>
        <w:tc>
          <w:tcPr>
            <w:tcW w:w="1417" w:type="dxa"/>
            <w:tcBorders>
              <w:tl2br w:val="nil"/>
              <w:tr2bl w:val="nil"/>
            </w:tcBorders>
            <w:vAlign w:val="center"/>
          </w:tcPr>
          <w:p w14:paraId="5A3FD141"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资金使用合规性和安全性</w:t>
            </w:r>
          </w:p>
        </w:tc>
        <w:tc>
          <w:tcPr>
            <w:tcW w:w="1306" w:type="dxa"/>
            <w:tcBorders>
              <w:tl2br w:val="nil"/>
              <w:tr2bl w:val="nil"/>
            </w:tcBorders>
            <w:vAlign w:val="center"/>
          </w:tcPr>
          <w:p w14:paraId="5D4B8F51"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资金使用合规性与安全性</w:t>
            </w:r>
          </w:p>
        </w:tc>
        <w:tc>
          <w:tcPr>
            <w:tcW w:w="1330" w:type="dxa"/>
            <w:tcBorders>
              <w:tl2br w:val="nil"/>
              <w:tr2bl w:val="nil"/>
            </w:tcBorders>
            <w:vAlign w:val="center"/>
          </w:tcPr>
          <w:p w14:paraId="36C5F510"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资金使用规范运行和安全运行</w:t>
            </w:r>
          </w:p>
        </w:tc>
        <w:tc>
          <w:tcPr>
            <w:tcW w:w="908" w:type="dxa"/>
            <w:tcBorders>
              <w:tl2br w:val="nil"/>
              <w:tr2bl w:val="nil"/>
            </w:tcBorders>
            <w:noWrap/>
            <w:vAlign w:val="center"/>
          </w:tcPr>
          <w:p w14:paraId="63572A19"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2</w:t>
            </w:r>
          </w:p>
        </w:tc>
        <w:tc>
          <w:tcPr>
            <w:tcW w:w="881" w:type="dxa"/>
            <w:tcBorders>
              <w:tl2br w:val="nil"/>
              <w:tr2bl w:val="nil"/>
            </w:tcBorders>
            <w:noWrap/>
            <w:vAlign w:val="center"/>
          </w:tcPr>
          <w:p w14:paraId="21F6DF45"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2</w:t>
            </w:r>
          </w:p>
        </w:tc>
      </w:tr>
      <w:tr w:rsidR="00E81271" w14:paraId="072FB07E" w14:textId="77777777" w:rsidTr="00E81271">
        <w:trPr>
          <w:trHeight w:val="23"/>
          <w:jc w:val="center"/>
        </w:trPr>
        <w:tc>
          <w:tcPr>
            <w:tcW w:w="1722" w:type="dxa"/>
            <w:vMerge/>
            <w:tcBorders>
              <w:tl2br w:val="nil"/>
              <w:tr2bl w:val="nil"/>
            </w:tcBorders>
            <w:vAlign w:val="center"/>
          </w:tcPr>
          <w:p w14:paraId="20E2C8C6"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vMerge/>
            <w:tcBorders>
              <w:tl2br w:val="nil"/>
              <w:tr2bl w:val="nil"/>
            </w:tcBorders>
            <w:vAlign w:val="center"/>
          </w:tcPr>
          <w:p w14:paraId="373D1A10" w14:textId="77777777" w:rsidR="00E81271" w:rsidRDefault="00E81271" w:rsidP="00F9639C">
            <w:pPr>
              <w:widowControl/>
              <w:spacing w:line="340" w:lineRule="exact"/>
              <w:jc w:val="left"/>
              <w:rPr>
                <w:rFonts w:ascii="仿宋" w:eastAsia="仿宋" w:hAnsi="仿宋" w:cs="仿宋"/>
                <w:kern w:val="0"/>
                <w:sz w:val="20"/>
                <w:szCs w:val="20"/>
              </w:rPr>
            </w:pPr>
          </w:p>
        </w:tc>
        <w:tc>
          <w:tcPr>
            <w:tcW w:w="1417" w:type="dxa"/>
            <w:tcBorders>
              <w:tl2br w:val="nil"/>
              <w:tr2bl w:val="nil"/>
            </w:tcBorders>
            <w:vAlign w:val="center"/>
          </w:tcPr>
          <w:p w14:paraId="3E1DB240"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会计基础信息完善性</w:t>
            </w:r>
          </w:p>
        </w:tc>
        <w:tc>
          <w:tcPr>
            <w:tcW w:w="1306" w:type="dxa"/>
            <w:tcBorders>
              <w:tl2br w:val="nil"/>
              <w:tr2bl w:val="nil"/>
            </w:tcBorders>
            <w:vAlign w:val="center"/>
          </w:tcPr>
          <w:p w14:paraId="144C244F"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会计基础信息的真实性、完整性和准确性</w:t>
            </w:r>
          </w:p>
        </w:tc>
        <w:tc>
          <w:tcPr>
            <w:tcW w:w="1330" w:type="dxa"/>
            <w:tcBorders>
              <w:tl2br w:val="nil"/>
              <w:tr2bl w:val="nil"/>
            </w:tcBorders>
            <w:vAlign w:val="center"/>
          </w:tcPr>
          <w:p w14:paraId="4819A31F"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基础数据信息和会计信息资料真实、完整、准确</w:t>
            </w:r>
          </w:p>
        </w:tc>
        <w:tc>
          <w:tcPr>
            <w:tcW w:w="908" w:type="dxa"/>
            <w:tcBorders>
              <w:tl2br w:val="nil"/>
              <w:tr2bl w:val="nil"/>
            </w:tcBorders>
            <w:noWrap/>
            <w:vAlign w:val="center"/>
          </w:tcPr>
          <w:p w14:paraId="1A93AD7D"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w:t>
            </w:r>
          </w:p>
        </w:tc>
        <w:tc>
          <w:tcPr>
            <w:tcW w:w="881" w:type="dxa"/>
            <w:tcBorders>
              <w:tl2br w:val="nil"/>
              <w:tr2bl w:val="nil"/>
            </w:tcBorders>
            <w:noWrap/>
            <w:vAlign w:val="center"/>
          </w:tcPr>
          <w:p w14:paraId="2E7343FE"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1</w:t>
            </w:r>
          </w:p>
        </w:tc>
      </w:tr>
      <w:tr w:rsidR="00E81271" w14:paraId="26B62838" w14:textId="77777777" w:rsidTr="00E81271">
        <w:trPr>
          <w:trHeight w:val="23"/>
          <w:jc w:val="center"/>
        </w:trPr>
        <w:tc>
          <w:tcPr>
            <w:tcW w:w="1722" w:type="dxa"/>
            <w:vMerge/>
            <w:tcBorders>
              <w:tl2br w:val="nil"/>
              <w:tr2bl w:val="nil"/>
            </w:tcBorders>
            <w:vAlign w:val="center"/>
          </w:tcPr>
          <w:p w14:paraId="4B9294D5"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tcBorders>
              <w:tl2br w:val="nil"/>
              <w:tr2bl w:val="nil"/>
            </w:tcBorders>
            <w:vAlign w:val="center"/>
          </w:tcPr>
          <w:p w14:paraId="51649F05"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资产管理（4）</w:t>
            </w:r>
          </w:p>
        </w:tc>
        <w:tc>
          <w:tcPr>
            <w:tcW w:w="1417" w:type="dxa"/>
            <w:tcBorders>
              <w:tl2br w:val="nil"/>
              <w:tr2bl w:val="nil"/>
            </w:tcBorders>
            <w:vAlign w:val="center"/>
          </w:tcPr>
          <w:p w14:paraId="1C357562"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资产管理规范性</w:t>
            </w:r>
          </w:p>
        </w:tc>
        <w:tc>
          <w:tcPr>
            <w:tcW w:w="1306" w:type="dxa"/>
            <w:tcBorders>
              <w:tl2br w:val="nil"/>
              <w:tr2bl w:val="nil"/>
            </w:tcBorders>
            <w:vAlign w:val="center"/>
          </w:tcPr>
          <w:p w14:paraId="49E50006" w14:textId="77777777" w:rsidR="00E81271" w:rsidRDefault="00E81271" w:rsidP="00F9639C">
            <w:pPr>
              <w:widowControl/>
              <w:spacing w:line="340" w:lineRule="exact"/>
              <w:jc w:val="left"/>
              <w:rPr>
                <w:rFonts w:ascii="仿宋" w:eastAsia="仿宋" w:hAnsi="仿宋" w:cs="仿宋"/>
                <w:kern w:val="0"/>
                <w:sz w:val="20"/>
                <w:szCs w:val="20"/>
              </w:rPr>
            </w:pPr>
            <w:r>
              <w:rPr>
                <w:rFonts w:ascii="仿宋" w:eastAsia="仿宋" w:hAnsi="仿宋" w:cs="仿宋" w:hint="eastAsia"/>
                <w:kern w:val="0"/>
                <w:sz w:val="20"/>
                <w:szCs w:val="20"/>
              </w:rPr>
              <w:t>资产配置、使用和处理的规范性</w:t>
            </w:r>
          </w:p>
        </w:tc>
        <w:tc>
          <w:tcPr>
            <w:tcW w:w="1330" w:type="dxa"/>
            <w:tcBorders>
              <w:tl2br w:val="nil"/>
              <w:tr2bl w:val="nil"/>
            </w:tcBorders>
            <w:vAlign w:val="center"/>
          </w:tcPr>
          <w:p w14:paraId="713ED4B2" w14:textId="77777777" w:rsidR="00E81271" w:rsidRDefault="00E81271" w:rsidP="00F9639C">
            <w:pPr>
              <w:widowControl/>
              <w:spacing w:line="340" w:lineRule="exact"/>
              <w:jc w:val="left"/>
              <w:rPr>
                <w:rFonts w:ascii="仿宋" w:eastAsia="仿宋" w:hAnsi="仿宋" w:cs="仿宋"/>
                <w:kern w:val="0"/>
                <w:sz w:val="20"/>
                <w:szCs w:val="20"/>
              </w:rPr>
            </w:pPr>
            <w:r>
              <w:rPr>
                <w:rFonts w:ascii="仿宋" w:eastAsia="仿宋" w:hAnsi="仿宋" w:cs="仿宋" w:hint="eastAsia"/>
                <w:kern w:val="0"/>
                <w:sz w:val="20"/>
                <w:szCs w:val="20"/>
              </w:rPr>
              <w:t>资产配置、使用和处理合理规范，未存在严重资产损失和丢失情况</w:t>
            </w:r>
          </w:p>
        </w:tc>
        <w:tc>
          <w:tcPr>
            <w:tcW w:w="908" w:type="dxa"/>
            <w:tcBorders>
              <w:tl2br w:val="nil"/>
              <w:tr2bl w:val="nil"/>
            </w:tcBorders>
            <w:vAlign w:val="center"/>
          </w:tcPr>
          <w:p w14:paraId="1272ADCC"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c>
          <w:tcPr>
            <w:tcW w:w="881" w:type="dxa"/>
            <w:tcBorders>
              <w:tl2br w:val="nil"/>
              <w:tr2bl w:val="nil"/>
            </w:tcBorders>
            <w:vAlign w:val="center"/>
          </w:tcPr>
          <w:p w14:paraId="54822BC6"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r>
      <w:tr w:rsidR="00E81271" w14:paraId="4CB56A83" w14:textId="77777777" w:rsidTr="00E81271">
        <w:trPr>
          <w:trHeight w:val="23"/>
          <w:jc w:val="center"/>
        </w:trPr>
        <w:tc>
          <w:tcPr>
            <w:tcW w:w="1722" w:type="dxa"/>
            <w:vMerge/>
            <w:tcBorders>
              <w:tl2br w:val="nil"/>
              <w:tr2bl w:val="nil"/>
            </w:tcBorders>
            <w:vAlign w:val="center"/>
          </w:tcPr>
          <w:p w14:paraId="3531B21A"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tcBorders>
              <w:tl2br w:val="nil"/>
              <w:tr2bl w:val="nil"/>
            </w:tcBorders>
            <w:vAlign w:val="center"/>
          </w:tcPr>
          <w:p w14:paraId="4E8A6D68"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绩效管理（4）</w:t>
            </w:r>
          </w:p>
        </w:tc>
        <w:tc>
          <w:tcPr>
            <w:tcW w:w="1417" w:type="dxa"/>
            <w:tcBorders>
              <w:tl2br w:val="nil"/>
              <w:tr2bl w:val="nil"/>
            </w:tcBorders>
            <w:vAlign w:val="center"/>
          </w:tcPr>
          <w:p w14:paraId="2F940014"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绩效管理情况</w:t>
            </w:r>
          </w:p>
        </w:tc>
        <w:tc>
          <w:tcPr>
            <w:tcW w:w="1306" w:type="dxa"/>
            <w:tcBorders>
              <w:tl2br w:val="nil"/>
              <w:tr2bl w:val="nil"/>
            </w:tcBorders>
            <w:vAlign w:val="center"/>
          </w:tcPr>
          <w:p w14:paraId="5BD3DC2D"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绩效信息收集和分析应用</w:t>
            </w:r>
          </w:p>
        </w:tc>
        <w:tc>
          <w:tcPr>
            <w:tcW w:w="1330" w:type="dxa"/>
            <w:tcBorders>
              <w:tl2br w:val="nil"/>
              <w:tr2bl w:val="nil"/>
            </w:tcBorders>
            <w:vAlign w:val="center"/>
          </w:tcPr>
          <w:p w14:paraId="69B28D2D"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及时对绩效信息进行汇总分析整理并对绩效目标偏离情况</w:t>
            </w:r>
            <w:r>
              <w:rPr>
                <w:rFonts w:ascii="仿宋" w:eastAsia="仿宋" w:hAnsi="仿宋" w:cs="仿宋" w:hint="eastAsia"/>
                <w:kern w:val="0"/>
                <w:sz w:val="20"/>
                <w:szCs w:val="20"/>
              </w:rPr>
              <w:lastRenderedPageBreak/>
              <w:t>及时进行矫正</w:t>
            </w:r>
          </w:p>
        </w:tc>
        <w:tc>
          <w:tcPr>
            <w:tcW w:w="908" w:type="dxa"/>
            <w:tcBorders>
              <w:tl2br w:val="nil"/>
              <w:tr2bl w:val="nil"/>
            </w:tcBorders>
            <w:vAlign w:val="center"/>
          </w:tcPr>
          <w:p w14:paraId="01DEE798"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lastRenderedPageBreak/>
              <w:t>4</w:t>
            </w:r>
          </w:p>
        </w:tc>
        <w:tc>
          <w:tcPr>
            <w:tcW w:w="881" w:type="dxa"/>
            <w:tcBorders>
              <w:tl2br w:val="nil"/>
              <w:tr2bl w:val="nil"/>
            </w:tcBorders>
            <w:vAlign w:val="center"/>
          </w:tcPr>
          <w:p w14:paraId="5F676970"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r>
      <w:tr w:rsidR="00E81271" w14:paraId="084935D4" w14:textId="77777777" w:rsidTr="00E81271">
        <w:trPr>
          <w:trHeight w:val="23"/>
          <w:jc w:val="center"/>
        </w:trPr>
        <w:tc>
          <w:tcPr>
            <w:tcW w:w="1722" w:type="dxa"/>
            <w:vMerge/>
            <w:tcBorders>
              <w:tl2br w:val="nil"/>
              <w:tr2bl w:val="nil"/>
            </w:tcBorders>
            <w:vAlign w:val="center"/>
          </w:tcPr>
          <w:p w14:paraId="66C3FFF9"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tcBorders>
              <w:tl2br w:val="nil"/>
              <w:tr2bl w:val="nil"/>
            </w:tcBorders>
            <w:vAlign w:val="center"/>
          </w:tcPr>
          <w:p w14:paraId="083FF23D" w14:textId="77777777" w:rsidR="00E81271" w:rsidRDefault="00E81271" w:rsidP="00F9639C">
            <w:pPr>
              <w:widowControl/>
              <w:spacing w:line="340" w:lineRule="exact"/>
              <w:rPr>
                <w:rFonts w:ascii="仿宋" w:eastAsia="仿宋" w:hAnsi="仿宋" w:cs="仿宋"/>
                <w:kern w:val="0"/>
                <w:sz w:val="20"/>
                <w:szCs w:val="20"/>
              </w:rPr>
            </w:pPr>
            <w:r>
              <w:rPr>
                <w:rFonts w:ascii="仿宋" w:eastAsia="仿宋" w:hAnsi="仿宋" w:cs="仿宋" w:hint="eastAsia"/>
                <w:kern w:val="0"/>
                <w:sz w:val="20"/>
                <w:szCs w:val="20"/>
              </w:rPr>
              <w:t>结转结余率（4）</w:t>
            </w:r>
          </w:p>
        </w:tc>
        <w:tc>
          <w:tcPr>
            <w:tcW w:w="2723" w:type="dxa"/>
            <w:gridSpan w:val="2"/>
            <w:tcBorders>
              <w:tl2br w:val="nil"/>
              <w:tr2bl w:val="nil"/>
            </w:tcBorders>
            <w:vAlign w:val="center"/>
          </w:tcPr>
          <w:p w14:paraId="183CCE87" w14:textId="61B93435" w:rsidR="00E81271" w:rsidRDefault="00E81271" w:rsidP="00F9639C">
            <w:pPr>
              <w:widowControl/>
              <w:spacing w:line="340" w:lineRule="exact"/>
              <w:jc w:val="center"/>
              <w:rPr>
                <w:rFonts w:ascii="仿宋" w:eastAsia="仿宋" w:hAnsi="仿宋" w:cs="仿宋"/>
                <w:kern w:val="0"/>
                <w:sz w:val="20"/>
                <w:szCs w:val="20"/>
              </w:rPr>
            </w:pPr>
          </w:p>
        </w:tc>
        <w:tc>
          <w:tcPr>
            <w:tcW w:w="1330" w:type="dxa"/>
            <w:tcBorders>
              <w:tl2br w:val="nil"/>
              <w:tr2bl w:val="nil"/>
            </w:tcBorders>
            <w:vAlign w:val="center"/>
          </w:tcPr>
          <w:p w14:paraId="6FCBC5A4" w14:textId="064C1F9F" w:rsidR="00E81271" w:rsidRDefault="00E81271" w:rsidP="00F9639C">
            <w:pPr>
              <w:widowControl/>
              <w:spacing w:line="340" w:lineRule="exact"/>
              <w:jc w:val="center"/>
              <w:rPr>
                <w:rFonts w:ascii="仿宋" w:eastAsia="仿宋" w:hAnsi="仿宋" w:cs="仿宋"/>
                <w:kern w:val="0"/>
                <w:sz w:val="20"/>
                <w:szCs w:val="20"/>
                <w:highlight w:val="green"/>
              </w:rPr>
            </w:pPr>
            <w:r>
              <w:rPr>
                <w:rFonts w:ascii="仿宋" w:eastAsia="仿宋" w:hAnsi="仿宋" w:cs="仿宋"/>
                <w:kern w:val="0"/>
                <w:sz w:val="20"/>
                <w:szCs w:val="20"/>
              </w:rPr>
              <w:t>2.05</w:t>
            </w:r>
            <w:r w:rsidRPr="00C34CF8">
              <w:rPr>
                <w:rFonts w:ascii="仿宋" w:eastAsia="仿宋" w:hAnsi="仿宋" w:cs="仿宋" w:hint="eastAsia"/>
                <w:kern w:val="0"/>
                <w:sz w:val="20"/>
                <w:szCs w:val="20"/>
              </w:rPr>
              <w:t>%</w:t>
            </w:r>
          </w:p>
        </w:tc>
        <w:tc>
          <w:tcPr>
            <w:tcW w:w="908" w:type="dxa"/>
            <w:tcBorders>
              <w:tl2br w:val="nil"/>
              <w:tr2bl w:val="nil"/>
            </w:tcBorders>
            <w:vAlign w:val="center"/>
          </w:tcPr>
          <w:p w14:paraId="776A120C"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c>
          <w:tcPr>
            <w:tcW w:w="881" w:type="dxa"/>
            <w:tcBorders>
              <w:tl2br w:val="nil"/>
              <w:tr2bl w:val="nil"/>
            </w:tcBorders>
            <w:vAlign w:val="center"/>
          </w:tcPr>
          <w:p w14:paraId="3B433EBC"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r>
      <w:tr w:rsidR="00E81271" w14:paraId="325FD5F5" w14:textId="77777777" w:rsidTr="00E81271">
        <w:trPr>
          <w:trHeight w:val="23"/>
          <w:jc w:val="center"/>
        </w:trPr>
        <w:tc>
          <w:tcPr>
            <w:tcW w:w="1722" w:type="dxa"/>
            <w:vMerge/>
            <w:tcBorders>
              <w:tl2br w:val="nil"/>
              <w:tr2bl w:val="nil"/>
            </w:tcBorders>
            <w:vAlign w:val="center"/>
          </w:tcPr>
          <w:p w14:paraId="7BA2B332" w14:textId="77777777" w:rsidR="00E81271" w:rsidRDefault="00E81271" w:rsidP="00F9639C">
            <w:pPr>
              <w:widowControl/>
              <w:spacing w:line="340" w:lineRule="exact"/>
              <w:jc w:val="left"/>
              <w:rPr>
                <w:rFonts w:ascii="仿宋" w:eastAsia="仿宋" w:hAnsi="仿宋" w:cs="仿宋"/>
                <w:kern w:val="0"/>
                <w:sz w:val="20"/>
                <w:szCs w:val="20"/>
              </w:rPr>
            </w:pPr>
          </w:p>
        </w:tc>
        <w:tc>
          <w:tcPr>
            <w:tcW w:w="918" w:type="dxa"/>
            <w:tcBorders>
              <w:tl2br w:val="nil"/>
              <w:tr2bl w:val="nil"/>
            </w:tcBorders>
            <w:vAlign w:val="center"/>
          </w:tcPr>
          <w:p w14:paraId="2BC1734F" w14:textId="77777777" w:rsidR="00E81271" w:rsidRDefault="00E81271" w:rsidP="00F9639C">
            <w:pPr>
              <w:widowControl/>
              <w:spacing w:line="340" w:lineRule="exact"/>
              <w:rPr>
                <w:rFonts w:ascii="仿宋" w:eastAsia="仿宋" w:hAnsi="仿宋" w:cs="仿宋"/>
                <w:kern w:val="0"/>
                <w:sz w:val="20"/>
                <w:szCs w:val="20"/>
              </w:rPr>
            </w:pPr>
            <w:r>
              <w:rPr>
                <w:rFonts w:ascii="仿宋" w:eastAsia="仿宋" w:hAnsi="仿宋" w:cs="仿宋" w:hint="eastAsia"/>
                <w:kern w:val="0"/>
                <w:sz w:val="20"/>
                <w:szCs w:val="20"/>
              </w:rPr>
              <w:t>部门预决算差异率（4）</w:t>
            </w:r>
          </w:p>
        </w:tc>
        <w:tc>
          <w:tcPr>
            <w:tcW w:w="2723" w:type="dxa"/>
            <w:gridSpan w:val="2"/>
            <w:tcBorders>
              <w:tl2br w:val="nil"/>
              <w:tr2bl w:val="nil"/>
            </w:tcBorders>
            <w:vAlign w:val="center"/>
          </w:tcPr>
          <w:p w14:paraId="37717823"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w:t>
            </w:r>
          </w:p>
        </w:tc>
        <w:tc>
          <w:tcPr>
            <w:tcW w:w="1330" w:type="dxa"/>
            <w:tcBorders>
              <w:tl2br w:val="nil"/>
              <w:tr2bl w:val="nil"/>
            </w:tcBorders>
            <w:vAlign w:val="center"/>
          </w:tcPr>
          <w:p w14:paraId="171AB9C6" w14:textId="0B0CFDA1" w:rsidR="00E81271" w:rsidRDefault="00E81271" w:rsidP="00F9639C">
            <w:pPr>
              <w:widowControl/>
              <w:spacing w:line="340" w:lineRule="exact"/>
              <w:jc w:val="center"/>
              <w:rPr>
                <w:rFonts w:ascii="仿宋" w:eastAsia="仿宋" w:hAnsi="仿宋" w:cs="仿宋"/>
                <w:kern w:val="0"/>
                <w:sz w:val="20"/>
                <w:szCs w:val="20"/>
                <w:highlight w:val="green"/>
              </w:rPr>
            </w:pPr>
            <w:r>
              <w:rPr>
                <w:rFonts w:ascii="仿宋" w:eastAsia="仿宋" w:hAnsi="仿宋" w:cs="仿宋"/>
                <w:kern w:val="0"/>
                <w:sz w:val="20"/>
                <w:szCs w:val="20"/>
              </w:rPr>
              <w:t>3.28</w:t>
            </w:r>
            <w:r w:rsidRPr="00C34CF8">
              <w:rPr>
                <w:rFonts w:ascii="仿宋" w:eastAsia="仿宋" w:hAnsi="仿宋" w:cs="仿宋" w:hint="eastAsia"/>
                <w:kern w:val="0"/>
                <w:sz w:val="20"/>
                <w:szCs w:val="20"/>
              </w:rPr>
              <w:t>%</w:t>
            </w:r>
          </w:p>
        </w:tc>
        <w:tc>
          <w:tcPr>
            <w:tcW w:w="908" w:type="dxa"/>
            <w:tcBorders>
              <w:tl2br w:val="nil"/>
              <w:tr2bl w:val="nil"/>
            </w:tcBorders>
            <w:vAlign w:val="center"/>
          </w:tcPr>
          <w:p w14:paraId="77559959"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c>
          <w:tcPr>
            <w:tcW w:w="881" w:type="dxa"/>
            <w:tcBorders>
              <w:tl2br w:val="nil"/>
              <w:tr2bl w:val="nil"/>
            </w:tcBorders>
            <w:vAlign w:val="center"/>
          </w:tcPr>
          <w:p w14:paraId="29E8E2EB" w14:textId="77777777" w:rsidR="00E81271" w:rsidRDefault="00E81271" w:rsidP="00F9639C">
            <w:pPr>
              <w:widowControl/>
              <w:spacing w:line="340" w:lineRule="exact"/>
              <w:jc w:val="center"/>
              <w:rPr>
                <w:rFonts w:ascii="仿宋" w:eastAsia="仿宋" w:hAnsi="仿宋" w:cs="仿宋"/>
                <w:kern w:val="0"/>
                <w:sz w:val="20"/>
                <w:szCs w:val="20"/>
              </w:rPr>
            </w:pPr>
            <w:r>
              <w:rPr>
                <w:rFonts w:ascii="仿宋" w:eastAsia="仿宋" w:hAnsi="仿宋" w:cs="仿宋" w:hint="eastAsia"/>
                <w:kern w:val="0"/>
                <w:sz w:val="20"/>
                <w:szCs w:val="20"/>
              </w:rPr>
              <w:t>4</w:t>
            </w:r>
          </w:p>
        </w:tc>
      </w:tr>
      <w:tr w:rsidR="00E81271" w14:paraId="582842D5" w14:textId="77777777" w:rsidTr="00E81271">
        <w:trPr>
          <w:trHeight w:val="23"/>
          <w:jc w:val="center"/>
        </w:trPr>
        <w:tc>
          <w:tcPr>
            <w:tcW w:w="6693" w:type="dxa"/>
            <w:gridSpan w:val="5"/>
            <w:tcBorders>
              <w:tl2br w:val="nil"/>
              <w:tr2bl w:val="nil"/>
            </w:tcBorders>
            <w:vAlign w:val="center"/>
          </w:tcPr>
          <w:p w14:paraId="219FF91D" w14:textId="77777777" w:rsidR="00E81271" w:rsidRDefault="00E81271" w:rsidP="00F9639C">
            <w:pPr>
              <w:widowControl/>
              <w:spacing w:line="34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合计</w:t>
            </w:r>
          </w:p>
        </w:tc>
        <w:tc>
          <w:tcPr>
            <w:tcW w:w="908" w:type="dxa"/>
            <w:tcBorders>
              <w:tl2br w:val="nil"/>
              <w:tr2bl w:val="nil"/>
            </w:tcBorders>
            <w:vAlign w:val="center"/>
          </w:tcPr>
          <w:p w14:paraId="11249099" w14:textId="77777777" w:rsidR="00E81271" w:rsidRDefault="00E81271" w:rsidP="00F9639C">
            <w:pPr>
              <w:widowControl/>
              <w:spacing w:line="340" w:lineRule="exact"/>
              <w:jc w:val="center"/>
              <w:rPr>
                <w:rFonts w:ascii="仿宋" w:eastAsia="仿宋" w:hAnsi="仿宋" w:cs="仿宋"/>
                <w:b/>
                <w:bCs/>
                <w:kern w:val="0"/>
                <w:sz w:val="20"/>
                <w:szCs w:val="20"/>
              </w:rPr>
            </w:pPr>
            <w:r>
              <w:rPr>
                <w:rFonts w:ascii="仿宋" w:eastAsia="仿宋" w:hAnsi="仿宋" w:cs="仿宋" w:hint="eastAsia"/>
                <w:b/>
                <w:bCs/>
                <w:kern w:val="0"/>
                <w:sz w:val="20"/>
                <w:szCs w:val="20"/>
              </w:rPr>
              <w:t>100</w:t>
            </w:r>
          </w:p>
        </w:tc>
        <w:tc>
          <w:tcPr>
            <w:tcW w:w="881" w:type="dxa"/>
            <w:tcBorders>
              <w:tl2br w:val="nil"/>
              <w:tr2bl w:val="nil"/>
            </w:tcBorders>
            <w:vAlign w:val="center"/>
          </w:tcPr>
          <w:p w14:paraId="42CC06DD" w14:textId="682EAD3F" w:rsidR="00E81271" w:rsidRDefault="00E81271" w:rsidP="00F9639C">
            <w:pPr>
              <w:widowControl/>
              <w:spacing w:line="340" w:lineRule="exact"/>
              <w:jc w:val="center"/>
              <w:rPr>
                <w:rFonts w:ascii="仿宋" w:eastAsia="仿宋" w:hAnsi="仿宋" w:cs="仿宋"/>
                <w:b/>
                <w:bCs/>
                <w:color w:val="FF0000"/>
                <w:kern w:val="0"/>
                <w:sz w:val="20"/>
                <w:szCs w:val="20"/>
              </w:rPr>
            </w:pPr>
            <w:r>
              <w:rPr>
                <w:rFonts w:ascii="仿宋" w:eastAsia="仿宋" w:hAnsi="仿宋" w:cs="仿宋"/>
                <w:b/>
                <w:bCs/>
                <w:kern w:val="0"/>
                <w:sz w:val="20"/>
                <w:szCs w:val="20"/>
              </w:rPr>
              <w:t>97.59</w:t>
            </w:r>
          </w:p>
        </w:tc>
      </w:tr>
    </w:tbl>
    <w:p w14:paraId="1B98D3E7" w14:textId="77777777" w:rsidR="00E9292E" w:rsidRDefault="00E9292E" w:rsidP="00E9292E">
      <w:pPr>
        <w:pStyle w:val="aa"/>
        <w:ind w:left="1470" w:right="1470" w:firstLineChars="0" w:firstLine="0"/>
        <w:rPr>
          <w:rFonts w:ascii="仿宋_GB2312" w:eastAsia="仿宋_GB2312"/>
          <w:sz w:val="32"/>
          <w:szCs w:val="32"/>
        </w:rPr>
      </w:pPr>
    </w:p>
    <w:p w14:paraId="30008CD4" w14:textId="77777777" w:rsidR="0084361C" w:rsidRDefault="0084361C"/>
    <w:sectPr w:rsidR="0084361C" w:rsidSect="00E812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2A12C" w14:textId="77777777" w:rsidR="00087D49" w:rsidRDefault="00087D49">
      <w:r>
        <w:separator/>
      </w:r>
    </w:p>
  </w:endnote>
  <w:endnote w:type="continuationSeparator" w:id="0">
    <w:p w14:paraId="41B8098F" w14:textId="77777777" w:rsidR="00087D49" w:rsidRDefault="0008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auto"/>
    <w:pitch w:val="default"/>
    <w:sig w:usb0="00000000" w:usb1="00000000" w:usb2="00000000" w:usb3="00000000" w:csb0="00040000" w:csb1="00000000"/>
  </w:font>
  <w:font w:name="方正小标宋简体">
    <w:altName w:val="Arial Unicode MS"/>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286009"/>
    </w:sdtPr>
    <w:sdtEndPr/>
    <w:sdtContent>
      <w:p w14:paraId="4EB7B5D8" w14:textId="1F137A6F" w:rsidR="0084361C" w:rsidRDefault="00E17F86">
        <w:pPr>
          <w:pStyle w:val="a4"/>
          <w:jc w:val="center"/>
        </w:pPr>
        <w:r>
          <w:fldChar w:fldCharType="begin"/>
        </w:r>
        <w:r>
          <w:instrText>PAGE   \* MERGEFORMAT</w:instrText>
        </w:r>
        <w:r>
          <w:fldChar w:fldCharType="separate"/>
        </w:r>
        <w:r w:rsidR="00E81271" w:rsidRPr="00E81271">
          <w:rPr>
            <w:noProof/>
            <w:lang w:val="zh-CN"/>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3FAA6" w14:textId="77777777" w:rsidR="00087D49" w:rsidRDefault="00087D49">
      <w:r>
        <w:separator/>
      </w:r>
    </w:p>
  </w:footnote>
  <w:footnote w:type="continuationSeparator" w:id="0">
    <w:p w14:paraId="7CA98D07" w14:textId="77777777" w:rsidR="00087D49" w:rsidRDefault="00087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30AE8" w14:textId="77DE73ED" w:rsidR="0084361C" w:rsidRDefault="00E17F86" w:rsidP="008F6B95">
    <w:pPr>
      <w:pStyle w:val="a6"/>
    </w:pPr>
    <w:r>
      <w:rPr>
        <w:rFonts w:hint="eastAsia"/>
      </w:rPr>
      <w:t>中</w:t>
    </w:r>
    <w:r w:rsidR="008F6B95">
      <w:rPr>
        <w:rFonts w:hint="eastAsia"/>
      </w:rPr>
      <w:t>国农工民主党</w:t>
    </w:r>
    <w:r>
      <w:rPr>
        <w:rFonts w:hint="eastAsia"/>
      </w:rPr>
      <w:t>北京市委员会</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YzQ3YTk2OWE3NmU4ZTNmNTQwMjRlMTFlNDIzMzIifQ=="/>
  </w:docVars>
  <w:rsids>
    <w:rsidRoot w:val="006C115D"/>
    <w:rsid w:val="000043EA"/>
    <w:rsid w:val="00005EE8"/>
    <w:rsid w:val="00087D49"/>
    <w:rsid w:val="000F765B"/>
    <w:rsid w:val="00103195"/>
    <w:rsid w:val="00151CD6"/>
    <w:rsid w:val="00192FE2"/>
    <w:rsid w:val="001C22EE"/>
    <w:rsid w:val="001E1C17"/>
    <w:rsid w:val="00200E4D"/>
    <w:rsid w:val="00212C84"/>
    <w:rsid w:val="002532A4"/>
    <w:rsid w:val="002950A8"/>
    <w:rsid w:val="002A2F7D"/>
    <w:rsid w:val="00321FF5"/>
    <w:rsid w:val="00322215"/>
    <w:rsid w:val="0033085A"/>
    <w:rsid w:val="00385B36"/>
    <w:rsid w:val="00393CF3"/>
    <w:rsid w:val="003A59BD"/>
    <w:rsid w:val="004E4817"/>
    <w:rsid w:val="004E5BBE"/>
    <w:rsid w:val="00500CF8"/>
    <w:rsid w:val="00506A68"/>
    <w:rsid w:val="005578D0"/>
    <w:rsid w:val="00560901"/>
    <w:rsid w:val="00564557"/>
    <w:rsid w:val="005F0280"/>
    <w:rsid w:val="00612364"/>
    <w:rsid w:val="00691D00"/>
    <w:rsid w:val="006A4C7E"/>
    <w:rsid w:val="006C115D"/>
    <w:rsid w:val="006D2A07"/>
    <w:rsid w:val="006D3D77"/>
    <w:rsid w:val="006D5CA5"/>
    <w:rsid w:val="006F4FE9"/>
    <w:rsid w:val="0070121D"/>
    <w:rsid w:val="007034C0"/>
    <w:rsid w:val="007118E4"/>
    <w:rsid w:val="00785C43"/>
    <w:rsid w:val="007E505D"/>
    <w:rsid w:val="007F6B17"/>
    <w:rsid w:val="00842940"/>
    <w:rsid w:val="0084361C"/>
    <w:rsid w:val="00852B3B"/>
    <w:rsid w:val="00853018"/>
    <w:rsid w:val="00882B5D"/>
    <w:rsid w:val="008D404D"/>
    <w:rsid w:val="008D5052"/>
    <w:rsid w:val="008F6B95"/>
    <w:rsid w:val="00945881"/>
    <w:rsid w:val="009478AA"/>
    <w:rsid w:val="00961782"/>
    <w:rsid w:val="009B19E4"/>
    <w:rsid w:val="00A6427E"/>
    <w:rsid w:val="00A800B1"/>
    <w:rsid w:val="00A84CD7"/>
    <w:rsid w:val="00AC4D5E"/>
    <w:rsid w:val="00B07026"/>
    <w:rsid w:val="00B16267"/>
    <w:rsid w:val="00B35D8A"/>
    <w:rsid w:val="00B36B57"/>
    <w:rsid w:val="00B66022"/>
    <w:rsid w:val="00BF435B"/>
    <w:rsid w:val="00C36AD7"/>
    <w:rsid w:val="00CA69E5"/>
    <w:rsid w:val="00CF2F00"/>
    <w:rsid w:val="00CF3651"/>
    <w:rsid w:val="00D0110B"/>
    <w:rsid w:val="00D03731"/>
    <w:rsid w:val="00D10AFC"/>
    <w:rsid w:val="00D2301B"/>
    <w:rsid w:val="00D24205"/>
    <w:rsid w:val="00D31C89"/>
    <w:rsid w:val="00D6715C"/>
    <w:rsid w:val="00DB13AB"/>
    <w:rsid w:val="00DB5AA6"/>
    <w:rsid w:val="00DC37BB"/>
    <w:rsid w:val="00E02444"/>
    <w:rsid w:val="00E04BD9"/>
    <w:rsid w:val="00E17F86"/>
    <w:rsid w:val="00E81271"/>
    <w:rsid w:val="00E9292E"/>
    <w:rsid w:val="00F23539"/>
    <w:rsid w:val="00F9639C"/>
    <w:rsid w:val="00FE1DD1"/>
    <w:rsid w:val="01ED415F"/>
    <w:rsid w:val="05DB2A34"/>
    <w:rsid w:val="0B5D1371"/>
    <w:rsid w:val="1BED298F"/>
    <w:rsid w:val="1DB36E82"/>
    <w:rsid w:val="23132D66"/>
    <w:rsid w:val="243377FD"/>
    <w:rsid w:val="29E06A72"/>
    <w:rsid w:val="2D046FB0"/>
    <w:rsid w:val="2DD73206"/>
    <w:rsid w:val="2DDF30B9"/>
    <w:rsid w:val="311A3B4C"/>
    <w:rsid w:val="32504871"/>
    <w:rsid w:val="331A4488"/>
    <w:rsid w:val="333746BC"/>
    <w:rsid w:val="36B90204"/>
    <w:rsid w:val="3728046D"/>
    <w:rsid w:val="373D6985"/>
    <w:rsid w:val="39D8484C"/>
    <w:rsid w:val="3A065152"/>
    <w:rsid w:val="3BA112FC"/>
    <w:rsid w:val="414B3095"/>
    <w:rsid w:val="4FBA3C98"/>
    <w:rsid w:val="55B7228C"/>
    <w:rsid w:val="59513E7A"/>
    <w:rsid w:val="5B7325F9"/>
    <w:rsid w:val="67F44ACD"/>
    <w:rsid w:val="6A1137F3"/>
    <w:rsid w:val="6AB8109C"/>
    <w:rsid w:val="6AF05C13"/>
    <w:rsid w:val="6FA770D0"/>
    <w:rsid w:val="765A4AF7"/>
    <w:rsid w:val="76EC563D"/>
    <w:rsid w:val="782902B3"/>
    <w:rsid w:val="7CDA34E6"/>
    <w:rsid w:val="7E553E73"/>
    <w:rsid w:val="7F4F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87EEF"/>
  <w15:docId w15:val="{B75F37B9-72FD-4291-8751-F69154F74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spacing w:line="600" w:lineRule="exact"/>
      <w:ind w:firstLine="640"/>
      <w:outlineLvl w:val="0"/>
    </w:pPr>
    <w:rPr>
      <w:rFonts w:ascii="黑体" w:eastAsia="黑体" w:hAnsi="黑体" w:cs="宋体"/>
      <w:color w:val="000000"/>
      <w:kern w:val="0"/>
    </w:rPr>
  </w:style>
  <w:style w:type="paragraph" w:styleId="2">
    <w:name w:val="heading 2"/>
    <w:basedOn w:val="a"/>
    <w:next w:val="a"/>
    <w:link w:val="20"/>
    <w:semiHidden/>
    <w:unhideWhenUsed/>
    <w:qFormat/>
    <w:rsid w:val="00F235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700" w:rightChars="700" w:right="700"/>
    </w:pPr>
  </w:style>
  <w:style w:type="paragraph" w:styleId="a4">
    <w:name w:val="footer"/>
    <w:basedOn w:val="a"/>
    <w:next w:val="a"/>
    <w:link w:val="a5"/>
    <w:uiPriority w:val="99"/>
    <w:qFormat/>
    <w:pPr>
      <w:tabs>
        <w:tab w:val="center" w:pos="4153"/>
        <w:tab w:val="right" w:pos="8306"/>
      </w:tabs>
      <w:snapToGrid w:val="0"/>
      <w:jc w:val="left"/>
    </w:pPr>
    <w:rPr>
      <w:sz w:val="18"/>
      <w:szCs w:val="20"/>
    </w:rPr>
  </w:style>
  <w:style w:type="paragraph" w:styleId="a6">
    <w:name w:val="header"/>
    <w:basedOn w:val="a"/>
    <w:link w:val="a7"/>
    <w:uiPriority w:val="99"/>
    <w:pPr>
      <w:pBdr>
        <w:bottom w:val="single" w:sz="4"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kern w:val="2"/>
      <w:sz w:val="18"/>
      <w:szCs w:val="18"/>
    </w:rPr>
  </w:style>
  <w:style w:type="character" w:customStyle="1" w:styleId="a5">
    <w:name w:val="页脚 字符"/>
    <w:basedOn w:val="a1"/>
    <w:link w:val="a4"/>
    <w:uiPriority w:val="99"/>
    <w:qFormat/>
    <w:rPr>
      <w:kern w:val="2"/>
      <w:sz w:val="18"/>
    </w:rPr>
  </w:style>
  <w:style w:type="character" w:customStyle="1" w:styleId="font11">
    <w:name w:val="font11"/>
    <w:basedOn w:val="a1"/>
    <w:rPr>
      <w:rFonts w:ascii="宋体" w:eastAsia="宋体" w:hAnsi="宋体" w:cs="宋体" w:hint="eastAsia"/>
      <w:color w:val="000000"/>
      <w:sz w:val="18"/>
      <w:szCs w:val="18"/>
      <w:u w:val="none"/>
    </w:rPr>
  </w:style>
  <w:style w:type="paragraph" w:styleId="a8">
    <w:name w:val="Body Text"/>
    <w:basedOn w:val="a"/>
    <w:link w:val="a9"/>
    <w:uiPriority w:val="1"/>
    <w:qFormat/>
    <w:rsid w:val="00E02444"/>
    <w:pPr>
      <w:ind w:left="109"/>
    </w:pPr>
    <w:rPr>
      <w:rFonts w:ascii="Arial Unicode MS" w:eastAsia="Arial Unicode MS" w:hAnsi="Arial Unicode MS" w:cs="Arial Unicode MS"/>
      <w:sz w:val="32"/>
      <w:szCs w:val="32"/>
    </w:rPr>
  </w:style>
  <w:style w:type="character" w:customStyle="1" w:styleId="a9">
    <w:name w:val="正文文本 字符"/>
    <w:basedOn w:val="a1"/>
    <w:link w:val="a8"/>
    <w:uiPriority w:val="1"/>
    <w:rsid w:val="00E02444"/>
    <w:rPr>
      <w:rFonts w:ascii="Arial Unicode MS" w:eastAsia="Arial Unicode MS" w:hAnsi="Arial Unicode MS" w:cs="Arial Unicode MS"/>
      <w:kern w:val="2"/>
      <w:sz w:val="32"/>
      <w:szCs w:val="32"/>
    </w:rPr>
  </w:style>
  <w:style w:type="paragraph" w:styleId="aa">
    <w:name w:val="Normal Indent"/>
    <w:basedOn w:val="a"/>
    <w:qFormat/>
    <w:rsid w:val="00192FE2"/>
    <w:pPr>
      <w:ind w:firstLineChars="200" w:firstLine="420"/>
    </w:pPr>
    <w:rPr>
      <w:rFonts w:asciiTheme="minorHAnsi" w:eastAsiaTheme="minorEastAsia" w:hAnsiTheme="minorHAnsi" w:cstheme="minorBidi"/>
    </w:rPr>
  </w:style>
  <w:style w:type="character" w:customStyle="1" w:styleId="20">
    <w:name w:val="标题 2 字符"/>
    <w:basedOn w:val="a1"/>
    <w:link w:val="2"/>
    <w:semiHidden/>
    <w:rsid w:val="00F23539"/>
    <w:rPr>
      <w:rFonts w:asciiTheme="majorHAnsi" w:eastAsiaTheme="majorEastAsia" w:hAnsiTheme="majorHAnsi" w:cstheme="majorBidi"/>
      <w:b/>
      <w:bCs/>
      <w:kern w:val="2"/>
      <w:sz w:val="32"/>
      <w:szCs w:val="32"/>
    </w:rPr>
  </w:style>
  <w:style w:type="paragraph" w:styleId="ab">
    <w:name w:val="Balloon Text"/>
    <w:basedOn w:val="a"/>
    <w:link w:val="ac"/>
    <w:rsid w:val="00B16267"/>
    <w:rPr>
      <w:sz w:val="18"/>
      <w:szCs w:val="18"/>
    </w:rPr>
  </w:style>
  <w:style w:type="character" w:customStyle="1" w:styleId="ac">
    <w:name w:val="批注框文本 字符"/>
    <w:basedOn w:val="a1"/>
    <w:link w:val="ab"/>
    <w:rsid w:val="00B162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17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13</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jscxw</dc:creator>
  <cp:lastModifiedBy>Administrator</cp:lastModifiedBy>
  <cp:revision>26</cp:revision>
  <cp:lastPrinted>2025-05-19T08:28:00Z</cp:lastPrinted>
  <dcterms:created xsi:type="dcterms:W3CDTF">2023-05-07T04:49:00Z</dcterms:created>
  <dcterms:modified xsi:type="dcterms:W3CDTF">2025-08-25T06:39:00Z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CB880C7629894C57986C623B075C9A8B_13</vt:lpwstr>
  </property>
</Properties>
</file>